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469"/>
        <w:tblW w:w="10148" w:type="dxa"/>
        <w:tblLayout w:type="fixed"/>
        <w:tblCellMar>
          <w:left w:w="0" w:type="dxa"/>
          <w:right w:w="0" w:type="dxa"/>
        </w:tblCellMar>
        <w:tblLook w:val="0000"/>
      </w:tblPr>
      <w:tblGrid>
        <w:gridCol w:w="10123"/>
        <w:gridCol w:w="25"/>
      </w:tblGrid>
      <w:tr w:rsidR="00A02B2F" w:rsidRPr="00A02B2F" w:rsidTr="0091043C">
        <w:trPr>
          <w:trHeight w:val="543"/>
        </w:trPr>
        <w:tc>
          <w:tcPr>
            <w:tcW w:w="10123" w:type="dxa"/>
          </w:tcPr>
          <w:p w:rsidR="00A02B2F" w:rsidRPr="00A02B2F" w:rsidRDefault="00A02B2F" w:rsidP="00A02B2F">
            <w:pPr>
              <w:spacing w:after="160" w:line="259" w:lineRule="auto"/>
              <w:jc w:val="center"/>
              <w:rPr>
                <w:rFonts w:ascii="Calibri" w:eastAsia="SimSun" w:hAnsi="Calibri" w:cs="Calibri"/>
                <w:b/>
                <w:lang w:eastAsia="zh-CN"/>
              </w:rPr>
            </w:pPr>
            <w:r w:rsidRPr="00A02B2F">
              <w:rPr>
                <w:rFonts w:ascii="Calibri" w:eastAsia="SimSun" w:hAnsi="Calibri" w:cs="Calibri"/>
                <w:b/>
                <w:lang w:eastAsia="zh-CN"/>
              </w:rPr>
              <w:t>Non Paper – A soft price collar for the European carbon market</w:t>
            </w:r>
          </w:p>
          <w:p w:rsidR="00A02B2F" w:rsidRPr="00A02B2F" w:rsidRDefault="00A02B2F" w:rsidP="00A02B2F">
            <w:pPr>
              <w:spacing w:after="160" w:line="259" w:lineRule="auto"/>
              <w:jc w:val="center"/>
              <w:rPr>
                <w:rFonts w:ascii="Calibri" w:eastAsia="SimSun" w:hAnsi="Calibri" w:cs="Arial"/>
                <w:b/>
                <w:bCs/>
                <w:lang w:eastAsia="zh-CN"/>
              </w:rPr>
            </w:pPr>
          </w:p>
        </w:tc>
        <w:tc>
          <w:tcPr>
            <w:tcW w:w="25" w:type="dxa"/>
          </w:tcPr>
          <w:p w:rsidR="00A02B2F" w:rsidRPr="00A02B2F" w:rsidRDefault="00A02B2F" w:rsidP="00A02B2F">
            <w:pPr>
              <w:snapToGrid w:val="0"/>
              <w:spacing w:after="160" w:line="240" w:lineRule="auto"/>
              <w:rPr>
                <w:rFonts w:ascii="Calibri" w:eastAsia="SimSun" w:hAnsi="Calibri" w:cs="Arial"/>
                <w:lang w:eastAsia="zh-CN"/>
              </w:rPr>
            </w:pPr>
          </w:p>
        </w:tc>
      </w:tr>
    </w:tbl>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 xml:space="preserve">So far, the European carbon market has successfully fulfilled its role to cap almost half of the European Union’s GHG emissions. However, the transition to a low carbon economy is both a climate necessity and an opportunity to create economic activity and jobs. </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This "green growth" would result in particular from an acceleration of low-carbon investments and an improvement in purchasing power through improved energy efficiency which reduces energy bills. The realization of these opportunities faces today:</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 xml:space="preserve">- </w:t>
      </w:r>
      <w:proofErr w:type="gramStart"/>
      <w:r w:rsidRPr="00A02B2F">
        <w:rPr>
          <w:rFonts w:ascii="Calibri" w:eastAsia="SimSun" w:hAnsi="Calibri" w:cs="Calibri"/>
          <w:b/>
          <w:lang w:eastAsia="zh-CN"/>
        </w:rPr>
        <w:t>a</w:t>
      </w:r>
      <w:proofErr w:type="gramEnd"/>
      <w:r w:rsidRPr="00A02B2F">
        <w:rPr>
          <w:rFonts w:ascii="Calibri" w:eastAsia="SimSun" w:hAnsi="Calibri" w:cs="Calibri"/>
          <w:b/>
          <w:lang w:eastAsia="zh-CN"/>
        </w:rPr>
        <w:t xml:space="preserve"> low carbon price in the European carbon market: the price of allowances has lost more than 40% of its value since the end of 2015 and its price is currently around 5 €;</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 xml:space="preserve">- </w:t>
      </w:r>
      <w:proofErr w:type="gramStart"/>
      <w:r w:rsidRPr="00A02B2F">
        <w:rPr>
          <w:rFonts w:ascii="Calibri" w:eastAsia="SimSun" w:hAnsi="Calibri" w:cs="Calibri"/>
          <w:b/>
          <w:lang w:eastAsia="zh-CN"/>
        </w:rPr>
        <w:t>strong</w:t>
      </w:r>
      <w:proofErr w:type="gramEnd"/>
      <w:r w:rsidRPr="00A02B2F">
        <w:rPr>
          <w:rFonts w:ascii="Calibri" w:eastAsia="SimSun" w:hAnsi="Calibri" w:cs="Calibri"/>
          <w:b/>
          <w:lang w:eastAsia="zh-CN"/>
        </w:rPr>
        <w:t xml:space="preserve"> uncertainties regarding carbon price evolution. This structural volatility stems from the inability to anticipate changes in actual emissions for 2020 and 2030, and thus to measure the effort needed to achieve European goals in a long-term trajectory. Insofar as most low-carbon investments are long-term investments, the "market design" of the current EU ETS market is not sufficient to trigger investments.</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Consequences are many: loss of attractiveness for investments in renewable energy and energy efficiency, increased cost in support mechanisms for renewable energy, weak government revenues from the auctions while these revenues usually fund the energy transition.</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 xml:space="preserve">The establishment of a soft price collar for the European carbon market, to channel the evolution of the market price between a minimum and a maximum, would reduce volatility due to adverse expectations of future emissions and improve predictability of the price carbon, creating a strong incentive in </w:t>
      </w:r>
      <w:proofErr w:type="spellStart"/>
      <w:r w:rsidRPr="00A02B2F">
        <w:rPr>
          <w:rFonts w:ascii="Calibri" w:eastAsia="SimSun" w:hAnsi="Calibri" w:cs="Calibri"/>
          <w:b/>
          <w:lang w:eastAsia="zh-CN"/>
        </w:rPr>
        <w:t>favor</w:t>
      </w:r>
      <w:proofErr w:type="spellEnd"/>
      <w:r w:rsidRPr="00A02B2F">
        <w:rPr>
          <w:rFonts w:ascii="Calibri" w:eastAsia="SimSun" w:hAnsi="Calibri" w:cs="Calibri"/>
          <w:b/>
          <w:lang w:eastAsia="zh-CN"/>
        </w:rPr>
        <w:t xml:space="preserve"> of low-carbon investments and securing revenues for member states.</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The price corridor could easily be set up based on the market stability reserve, and would not have a significant impact on the cumulated Member States auction revenues. Moreover, to avoid impacts on the competitiveness, the implementation of this soft price collar would be done in conjunction with maintaining improved and strengthened provisions to fight against a potential risk of carbon leakage.</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It is also necessary to ensure the proper coordination of all the European climate and energy framework instruments with the ETS market and the price of carbon, to ensure the best efficiency.</w:t>
      </w:r>
    </w:p>
    <w:p w:rsidR="00A02B2F" w:rsidRPr="00A02B2F" w:rsidRDefault="00A02B2F" w:rsidP="00A02B2F">
      <w:pPr>
        <w:pBdr>
          <w:top w:val="single" w:sz="4" w:space="1" w:color="auto"/>
          <w:left w:val="single" w:sz="4" w:space="1" w:color="auto"/>
          <w:bottom w:val="single" w:sz="4" w:space="1" w:color="auto"/>
          <w:right w:val="single" w:sz="4" w:space="1" w:color="auto"/>
        </w:pBdr>
        <w:spacing w:after="160" w:line="259" w:lineRule="auto"/>
        <w:jc w:val="both"/>
        <w:rPr>
          <w:rFonts w:ascii="Calibri" w:eastAsia="SimSun" w:hAnsi="Calibri" w:cs="Calibri"/>
          <w:b/>
          <w:lang w:eastAsia="zh-CN"/>
        </w:rPr>
      </w:pPr>
      <w:r w:rsidRPr="00A02B2F">
        <w:rPr>
          <w:rFonts w:ascii="Calibri" w:eastAsia="SimSun" w:hAnsi="Calibri" w:cs="Calibri"/>
          <w:b/>
          <w:lang w:eastAsia="zh-CN"/>
        </w:rPr>
        <w:t>Information contained in this paper aim at generating discussions and France is open to all Member States’ comments to improve this proposal toward a European carbon market that would be less volatile, more predictable, and more able to trigger the low-carbon investments which the European Union needs.</w:t>
      </w:r>
      <w:r w:rsidRPr="00A02B2F">
        <w:rPr>
          <w:rFonts w:ascii="Calibri" w:eastAsia="SimSun" w:hAnsi="Calibri" w:cs="Calibri"/>
          <w:lang w:eastAsia="zh-CN"/>
        </w:rPr>
        <w:br w:type="page"/>
      </w:r>
    </w:p>
    <w:p w:rsidR="00A02B2F" w:rsidRPr="00A02B2F" w:rsidRDefault="00A02B2F" w:rsidP="00A02B2F">
      <w:pPr>
        <w:keepNext/>
        <w:numPr>
          <w:ilvl w:val="2"/>
          <w:numId w:val="2"/>
        </w:numPr>
        <w:tabs>
          <w:tab w:val="left" w:pos="708"/>
        </w:tabs>
        <w:suppressAutoHyphens/>
        <w:spacing w:before="240" w:after="120" w:line="100" w:lineRule="atLeast"/>
        <w:jc w:val="both"/>
        <w:outlineLvl w:val="1"/>
        <w:rPr>
          <w:rFonts w:ascii="Calibri" w:eastAsia="SimSun" w:hAnsi="Calibri" w:cs="Arial"/>
          <w:b/>
          <w:bCs/>
          <w:lang w:eastAsia="zh-CN"/>
        </w:rPr>
      </w:pPr>
      <w:r w:rsidRPr="00A02B2F">
        <w:rPr>
          <w:rFonts w:ascii="Calibri" w:eastAsia="SimSun" w:hAnsi="Calibri" w:cs="Arial"/>
          <w:b/>
          <w:bCs/>
          <w:lang w:eastAsia="zh-CN"/>
        </w:rPr>
        <w:lastRenderedPageBreak/>
        <w:t>Why a minimum price floor for the European carbon market?</w:t>
      </w:r>
    </w:p>
    <w:p w:rsidR="00A02B2F" w:rsidRPr="00A02B2F" w:rsidRDefault="00A02B2F" w:rsidP="00A02B2F">
      <w:pPr>
        <w:spacing w:after="160" w:line="259" w:lineRule="auto"/>
        <w:jc w:val="both"/>
        <w:rPr>
          <w:rFonts w:ascii="Calibri" w:eastAsia="SimSun" w:hAnsi="Calibri" w:cs="Calibri"/>
          <w:lang w:eastAsia="zh-CN"/>
        </w:rPr>
      </w:pPr>
      <w:r w:rsidRPr="00A02B2F">
        <w:rPr>
          <w:rFonts w:ascii="Calibri" w:eastAsia="SimSun" w:hAnsi="Calibri" w:cs="Calibri"/>
          <w:lang w:eastAsia="zh-CN"/>
        </w:rPr>
        <w:t>A floor price (reserve price at auctions) for the European carbon market is a signal to economic actors to foster investments. It provides visibility to investors and enables them to reduce the risk associated with current uncertainties on the level of future prices:</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Today, economic actors need to receive the right signals to trigger decisions for a transition to a low carbon economy;</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The current organization of the European carbon market and the effects of complementary policies in the EU climate and energy framework do not send a readable enough price signal to trigger the necessary investments;</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Establishing a minimum floor price for carbon allowances would secure a minimum and predictable incentive in the short and medium terms to reduce emissions and invest in low carbon technologies;</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This also reduces the risk for investments made by industries which know that the carbon price cannot collapse (as it has been the case in the past and in the current situation);</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The introduction of a price floor would trigger investments whose cost per avoided tons could be much higher than the price floor by creating a beneficial climate that would limit the risk aversion of investors.</w:t>
      </w:r>
    </w:p>
    <w:p w:rsidR="00A02B2F" w:rsidRPr="00A02B2F" w:rsidRDefault="00A02B2F" w:rsidP="00A02B2F">
      <w:pPr>
        <w:keepNext/>
        <w:numPr>
          <w:ilvl w:val="2"/>
          <w:numId w:val="2"/>
        </w:numPr>
        <w:tabs>
          <w:tab w:val="left" w:pos="708"/>
        </w:tabs>
        <w:suppressAutoHyphens/>
        <w:spacing w:before="240" w:after="80" w:line="100" w:lineRule="atLeast"/>
        <w:ind w:left="709" w:hanging="369"/>
        <w:jc w:val="both"/>
        <w:outlineLvl w:val="1"/>
        <w:rPr>
          <w:rFonts w:ascii="Calibri" w:eastAsia="SimSun" w:hAnsi="Calibri" w:cs="Arial"/>
          <w:b/>
          <w:bCs/>
          <w:lang w:eastAsia="zh-CN"/>
        </w:rPr>
      </w:pPr>
      <w:r w:rsidRPr="00A02B2F">
        <w:rPr>
          <w:rFonts w:ascii="Calibri" w:eastAsia="SimSun" w:hAnsi="Calibri" w:cs="Arial"/>
          <w:b/>
          <w:bCs/>
          <w:lang w:eastAsia="zh-CN"/>
        </w:rPr>
        <w:t>Successful experiences of carbon markets operating with a minimum floor price for allowances</w:t>
      </w:r>
    </w:p>
    <w:p w:rsidR="00A02B2F" w:rsidRPr="00A02B2F" w:rsidRDefault="00A02B2F" w:rsidP="00A02B2F">
      <w:pPr>
        <w:spacing w:after="160" w:line="259" w:lineRule="auto"/>
        <w:jc w:val="both"/>
        <w:rPr>
          <w:rFonts w:ascii="Calibri" w:eastAsia="SimSun" w:hAnsi="Calibri" w:cs="Calibri"/>
          <w:lang w:eastAsia="zh-CN"/>
        </w:rPr>
      </w:pPr>
      <w:r w:rsidRPr="00A02B2F">
        <w:rPr>
          <w:rFonts w:ascii="Calibri" w:eastAsia="SimSun" w:hAnsi="Calibri" w:cs="Calibri"/>
          <w:lang w:eastAsia="zh-CN"/>
        </w:rPr>
        <w:t>Several carbon markets in the world have right from the start set up a "minimum floor carbon price”, which may be accompanied by a "safety valve" in case of too high prices, thereby establishing a soft price collar.</w:t>
      </w:r>
    </w:p>
    <w:p w:rsidR="00A02B2F" w:rsidRPr="00A02B2F" w:rsidRDefault="00A02B2F" w:rsidP="00A02B2F">
      <w:pPr>
        <w:spacing w:after="160" w:line="259" w:lineRule="auto"/>
        <w:jc w:val="both"/>
        <w:rPr>
          <w:rFonts w:ascii="Calibri" w:eastAsia="SimSun" w:hAnsi="Calibri" w:cs="Calibri"/>
          <w:lang w:eastAsia="zh-CN"/>
        </w:rPr>
      </w:pPr>
      <w:r w:rsidRPr="00A02B2F">
        <w:rPr>
          <w:rFonts w:ascii="Calibri" w:eastAsia="SimSun" w:hAnsi="Calibri" w:cs="Calibri"/>
          <w:lang w:eastAsia="zh-CN"/>
        </w:rPr>
        <w:t>In the United States, in California, for the nine states participating in RGGI carbon market, and Quebec, soft price collars have been established. In China, 7 pilot carbon markets indicate price control mechanisms more or less explicitly (annex).</w:t>
      </w:r>
    </w:p>
    <w:p w:rsidR="00A02B2F" w:rsidRPr="00A02B2F" w:rsidRDefault="00A02B2F" w:rsidP="00A02B2F">
      <w:pPr>
        <w:keepNext/>
        <w:numPr>
          <w:ilvl w:val="2"/>
          <w:numId w:val="2"/>
        </w:numPr>
        <w:tabs>
          <w:tab w:val="left" w:pos="708"/>
        </w:tabs>
        <w:suppressAutoHyphens/>
        <w:spacing w:before="240" w:after="80" w:line="100" w:lineRule="atLeast"/>
        <w:ind w:left="709" w:hanging="369"/>
        <w:jc w:val="both"/>
        <w:outlineLvl w:val="1"/>
        <w:rPr>
          <w:rFonts w:ascii="Calibri" w:eastAsia="SimSun" w:hAnsi="Calibri" w:cs="Arial"/>
          <w:b/>
          <w:bCs/>
          <w:lang w:eastAsia="zh-CN"/>
        </w:rPr>
      </w:pPr>
      <w:r w:rsidRPr="00A02B2F">
        <w:rPr>
          <w:rFonts w:ascii="Calibri" w:eastAsia="SimSun" w:hAnsi="Calibri" w:cs="Arial"/>
          <w:b/>
          <w:bCs/>
          <w:lang w:eastAsia="zh-CN"/>
        </w:rPr>
        <w:t>Technical implementation of a soft price collar in the European carbon market</w:t>
      </w:r>
    </w:p>
    <w:p w:rsidR="00A02B2F" w:rsidRPr="00A02B2F" w:rsidRDefault="00A02B2F" w:rsidP="00A02B2F">
      <w:pPr>
        <w:spacing w:after="160" w:line="259" w:lineRule="auto"/>
        <w:jc w:val="both"/>
        <w:rPr>
          <w:rFonts w:ascii="Calibri" w:eastAsia="SimSun" w:hAnsi="Calibri" w:cs="Calibri"/>
          <w:u w:val="single"/>
          <w:lang w:eastAsia="zh-CN"/>
        </w:rPr>
      </w:pPr>
      <w:r w:rsidRPr="00A02B2F">
        <w:rPr>
          <w:rFonts w:ascii="Calibri" w:eastAsia="SimSun" w:hAnsi="Calibri" w:cs="Calibri"/>
          <w:u w:val="single"/>
          <w:lang w:eastAsia="zh-CN"/>
        </w:rPr>
        <w:t>a) The device is divided into:</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 xml:space="preserve"> An auction reserve price: the reserve price would evolve over time based on a predetermined trajectory to give visibility to the minimum price;</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A soft price ceiling: that evolves over time along a predetermined path to give visibility to the maximum price;</w:t>
      </w:r>
    </w:p>
    <w:p w:rsidR="00A02B2F" w:rsidRPr="00A02B2F" w:rsidRDefault="00A02B2F" w:rsidP="00A02B2F">
      <w:pPr>
        <w:numPr>
          <w:ilvl w:val="0"/>
          <w:numId w:val="4"/>
        </w:numPr>
        <w:spacing w:after="160" w:line="259" w:lineRule="auto"/>
        <w:jc w:val="both"/>
        <w:rPr>
          <w:rFonts w:ascii="Calibri" w:eastAsia="SimSun" w:hAnsi="Calibri" w:cs="Calibri"/>
          <w:lang w:eastAsia="zh-CN"/>
        </w:rPr>
      </w:pPr>
      <w:r w:rsidRPr="00A02B2F">
        <w:rPr>
          <w:rFonts w:ascii="Calibri" w:eastAsia="SimSun" w:hAnsi="Calibri" w:cs="Calibri"/>
          <w:lang w:eastAsia="zh-CN"/>
        </w:rPr>
        <w:t>A mechanism for adjusting the supply of allowances through auctions:</w:t>
      </w:r>
    </w:p>
    <w:p w:rsidR="00A02B2F" w:rsidRPr="00A02B2F" w:rsidRDefault="00A02B2F" w:rsidP="00A02B2F">
      <w:pPr>
        <w:numPr>
          <w:ilvl w:val="1"/>
          <w:numId w:val="4"/>
        </w:numPr>
        <w:spacing w:after="160" w:line="259" w:lineRule="auto"/>
        <w:jc w:val="both"/>
        <w:rPr>
          <w:rFonts w:ascii="Calibri" w:eastAsia="SimSun" w:hAnsi="Calibri" w:cs="Calibri"/>
          <w:sz w:val="20"/>
          <w:szCs w:val="20"/>
          <w:lang w:eastAsia="zh-CN"/>
        </w:rPr>
      </w:pPr>
      <w:r w:rsidRPr="00A02B2F">
        <w:rPr>
          <w:rFonts w:ascii="Calibri" w:eastAsia="SimSun" w:hAnsi="Calibri" w:cs="Calibri"/>
          <w:szCs w:val="20"/>
          <w:lang w:eastAsia="zh-CN"/>
        </w:rPr>
        <w:t>Allowances are placed in the reserve when the auction price is below the determined floor price;</w:t>
      </w:r>
    </w:p>
    <w:p w:rsidR="00A02B2F" w:rsidRPr="00A02B2F" w:rsidRDefault="00A02B2F" w:rsidP="00A02B2F">
      <w:pPr>
        <w:numPr>
          <w:ilvl w:val="1"/>
          <w:numId w:val="4"/>
        </w:numPr>
        <w:spacing w:after="160" w:line="259" w:lineRule="auto"/>
        <w:jc w:val="both"/>
        <w:rPr>
          <w:rFonts w:ascii="Calibri" w:eastAsia="SimSun" w:hAnsi="Calibri" w:cs="Calibri"/>
          <w:szCs w:val="20"/>
          <w:lang w:eastAsia="zh-CN"/>
        </w:rPr>
      </w:pPr>
      <w:r w:rsidRPr="00A02B2F">
        <w:rPr>
          <w:rFonts w:ascii="Calibri" w:eastAsia="SimSun" w:hAnsi="Calibri" w:cs="Calibri"/>
          <w:szCs w:val="20"/>
          <w:lang w:eastAsia="zh-CN"/>
        </w:rPr>
        <w:t>Allowances are released through auctions (to the extent that allowances from the stock made previously are available) when the soft price ceiling is reached (this is a form of "safety valve");</w:t>
      </w:r>
    </w:p>
    <w:p w:rsidR="00A02B2F" w:rsidRPr="00A02B2F" w:rsidRDefault="00A02B2F" w:rsidP="00A02B2F">
      <w:pPr>
        <w:numPr>
          <w:ilvl w:val="1"/>
          <w:numId w:val="4"/>
        </w:numPr>
        <w:spacing w:after="160" w:line="259" w:lineRule="auto"/>
        <w:jc w:val="both"/>
        <w:rPr>
          <w:rFonts w:ascii="Calibri" w:eastAsia="SimSun" w:hAnsi="Calibri" w:cs="Calibri"/>
          <w:szCs w:val="20"/>
          <w:lang w:eastAsia="zh-CN"/>
        </w:rPr>
      </w:pPr>
      <w:r w:rsidRPr="00A02B2F">
        <w:rPr>
          <w:rFonts w:ascii="Calibri" w:eastAsia="SimSun" w:hAnsi="Calibri" w:cs="Calibri"/>
          <w:szCs w:val="20"/>
          <w:lang w:eastAsia="zh-CN"/>
        </w:rPr>
        <w:t>This mechanism could be based on the existing market stability reserve by replacing its current criteria (surplus volume) for activation by a criteria based on allowance prices.</w:t>
      </w:r>
    </w:p>
    <w:p w:rsidR="00A02B2F" w:rsidRPr="00A02B2F" w:rsidRDefault="00A02B2F" w:rsidP="00A02B2F">
      <w:pPr>
        <w:spacing w:line="240" w:lineRule="auto"/>
        <w:jc w:val="center"/>
        <w:rPr>
          <w:rFonts w:ascii="Calibri" w:eastAsia="SimSun" w:hAnsi="Calibri" w:cs="Calibri"/>
          <w:i/>
          <w:iCs/>
          <w:color w:val="44546A"/>
          <w:lang w:eastAsia="zh-CN"/>
        </w:rPr>
      </w:pPr>
      <w:r w:rsidRPr="00A02B2F">
        <w:rPr>
          <w:rFonts w:ascii="Calibri" w:eastAsia="SimSun" w:hAnsi="Calibri" w:cs="Calibri"/>
          <w:i/>
          <w:iCs/>
          <w:color w:val="44546A"/>
          <w:lang w:eastAsia="zh-CN"/>
        </w:rPr>
        <w:lastRenderedPageBreak/>
        <w:t xml:space="preserve">Figure </w:t>
      </w:r>
      <w:r w:rsidRPr="00A02B2F">
        <w:rPr>
          <w:rFonts w:ascii="Calibri" w:eastAsia="SimSun" w:hAnsi="Calibri" w:cs="Calibri"/>
          <w:i/>
          <w:iCs/>
          <w:color w:val="44546A"/>
          <w:lang w:eastAsia="zh-CN"/>
        </w:rPr>
        <w:fldChar w:fldCharType="begin"/>
      </w:r>
      <w:r w:rsidRPr="00A02B2F">
        <w:rPr>
          <w:rFonts w:ascii="Calibri" w:eastAsia="SimSun" w:hAnsi="Calibri" w:cs="Calibri"/>
          <w:i/>
          <w:iCs/>
          <w:color w:val="44546A"/>
          <w:lang w:eastAsia="zh-CN"/>
        </w:rPr>
        <w:instrText xml:space="preserve"> SEQ Figure \* ARABIC </w:instrText>
      </w:r>
      <w:r w:rsidRPr="00A02B2F">
        <w:rPr>
          <w:rFonts w:ascii="Calibri" w:eastAsia="SimSun" w:hAnsi="Calibri" w:cs="Calibri"/>
          <w:i/>
          <w:iCs/>
          <w:color w:val="44546A"/>
          <w:lang w:eastAsia="zh-CN"/>
        </w:rPr>
        <w:fldChar w:fldCharType="separate"/>
      </w:r>
      <w:r w:rsidRPr="00A02B2F">
        <w:rPr>
          <w:rFonts w:ascii="Calibri" w:eastAsia="SimSun" w:hAnsi="Calibri" w:cs="Calibri"/>
          <w:i/>
          <w:iCs/>
          <w:noProof/>
          <w:color w:val="44546A"/>
          <w:lang w:eastAsia="zh-CN"/>
        </w:rPr>
        <w:t>1</w:t>
      </w:r>
      <w:r w:rsidRPr="00A02B2F">
        <w:rPr>
          <w:rFonts w:ascii="Calibri" w:eastAsia="SimSun" w:hAnsi="Calibri" w:cs="Calibri"/>
          <w:i/>
          <w:iCs/>
          <w:color w:val="44546A"/>
          <w:lang w:eastAsia="zh-CN"/>
        </w:rPr>
        <w:fldChar w:fldCharType="end"/>
      </w:r>
      <w:r w:rsidRPr="00A02B2F">
        <w:rPr>
          <w:rFonts w:ascii="Calibri" w:eastAsia="SimSun" w:hAnsi="Calibri" w:cs="Calibri"/>
          <w:i/>
          <w:iCs/>
          <w:color w:val="44546A"/>
          <w:lang w:eastAsia="zh-CN"/>
        </w:rPr>
        <w:t xml:space="preserve">- Functioning of soft price collar (minimum price and safety valve price) </w:t>
      </w:r>
    </w:p>
    <w:p w:rsidR="00A02B2F" w:rsidRPr="00A02B2F" w:rsidRDefault="00A02B2F" w:rsidP="00A02B2F">
      <w:pPr>
        <w:spacing w:after="160" w:line="259" w:lineRule="auto"/>
        <w:jc w:val="center"/>
        <w:rPr>
          <w:rFonts w:ascii="Calibri" w:eastAsia="SimSun" w:hAnsi="Calibri" w:cs="Calibri"/>
          <w:lang w:eastAsia="zh-CN"/>
        </w:rPr>
      </w:pPr>
      <w:r w:rsidRPr="00A02B2F">
        <w:rPr>
          <w:rFonts w:ascii="Calibri" w:eastAsia="SimSun" w:hAnsi="Calibri" w:cs="Calibri"/>
          <w:noProof/>
          <w:lang w:eastAsia="en-GB"/>
        </w:rPr>
        <w:drawing>
          <wp:inline distT="0" distB="0" distL="0" distR="0">
            <wp:extent cx="4552950" cy="3194873"/>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59047" cy="3199151"/>
                    </a:xfrm>
                    <a:prstGeom prst="rect">
                      <a:avLst/>
                    </a:prstGeom>
                    <a:noFill/>
                  </pic:spPr>
                </pic:pic>
              </a:graphicData>
            </a:graphic>
          </wp:inline>
        </w:drawing>
      </w:r>
    </w:p>
    <w:p w:rsidR="00A02B2F" w:rsidRPr="00A02B2F" w:rsidRDefault="00A02B2F" w:rsidP="00A02B2F">
      <w:pPr>
        <w:spacing w:after="80" w:line="259" w:lineRule="auto"/>
        <w:jc w:val="both"/>
        <w:rPr>
          <w:rFonts w:ascii="Calibri" w:eastAsia="SimSun" w:hAnsi="Calibri" w:cs="Calibri"/>
          <w:bCs/>
          <w:u w:val="single"/>
          <w:lang w:eastAsia="zh-CN"/>
        </w:rPr>
      </w:pPr>
      <w:r w:rsidRPr="00A02B2F">
        <w:rPr>
          <w:rFonts w:ascii="Calibri" w:eastAsia="SimSun" w:hAnsi="Calibri" w:cs="Calibri"/>
          <w:bCs/>
          <w:u w:val="single"/>
          <w:lang w:eastAsia="zh-CN"/>
        </w:rPr>
        <w:t>b) Definition of the auction reserve price</w:t>
      </w:r>
    </w:p>
    <w:p w:rsidR="00A02B2F" w:rsidRPr="00A02B2F" w:rsidRDefault="00A02B2F" w:rsidP="00A02B2F">
      <w:pPr>
        <w:spacing w:before="120" w:after="120"/>
        <w:contextualSpacing/>
        <w:jc w:val="both"/>
        <w:rPr>
          <w:rFonts w:ascii="Calibri" w:eastAsia="SimSun" w:hAnsi="Calibri" w:cs="Calibri"/>
          <w:lang w:eastAsia="zh-CN"/>
        </w:rPr>
      </w:pPr>
      <w:r w:rsidRPr="00A02B2F">
        <w:rPr>
          <w:rFonts w:ascii="Calibri" w:eastAsia="SimSun" w:hAnsi="Calibri" w:cs="Calibri"/>
          <w:lang w:eastAsia="zh-CN"/>
        </w:rPr>
        <w:t>Several references, consistent with EU climate targets for 2030, are possible and would need to be discussed at European level:</w:t>
      </w:r>
    </w:p>
    <w:p w:rsidR="00A02B2F" w:rsidRPr="00A02B2F" w:rsidRDefault="00A02B2F" w:rsidP="00A02B2F">
      <w:pPr>
        <w:numPr>
          <w:ilvl w:val="0"/>
          <w:numId w:val="3"/>
        </w:num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Based on the price projections following the decision concerning the market stability reserve (figure below, blue curve). This would secure minimum gains in terms of price which the consensus of economic actors hope to achieve from the market stability reserve;</w:t>
      </w:r>
    </w:p>
    <w:p w:rsidR="00A02B2F" w:rsidRPr="00A02B2F" w:rsidRDefault="00A02B2F" w:rsidP="00A02B2F">
      <w:pPr>
        <w:numPr>
          <w:ilvl w:val="0"/>
          <w:numId w:val="3"/>
        </w:num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Based on a desired average carbon price level between 2021 and 2030 (figure below, grey curve). It would then be possible to aim for an average price of € 25 from 2021 to 2030 as in the impact  assessment of the European Commission on the 2030 energy and climate framework;</w:t>
      </w:r>
    </w:p>
    <w:p w:rsidR="00A02B2F" w:rsidRPr="00A02B2F" w:rsidRDefault="00A02B2F" w:rsidP="00A02B2F">
      <w:pPr>
        <w:numPr>
          <w:ilvl w:val="0"/>
          <w:numId w:val="3"/>
        </w:num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Based on the level of historical prices from 2013 to 2015 as a starting point and then increase every year by a certain percentage from 2016 as in North America (figure below, orange line). An increase of about 10% per year could lead to a price of 30 € in 2030.</w:t>
      </w:r>
    </w:p>
    <w:p w:rsidR="00A02B2F" w:rsidRPr="00A02B2F" w:rsidRDefault="00A02B2F" w:rsidP="00A02B2F">
      <w:pPr>
        <w:contextualSpacing/>
        <w:jc w:val="center"/>
        <w:rPr>
          <w:rFonts w:ascii="Calibri" w:eastAsia="SimSun" w:hAnsi="Calibri" w:cs="Calibri"/>
          <w:i/>
          <w:iCs/>
          <w:color w:val="44546A"/>
          <w:lang w:eastAsia="zh-CN"/>
        </w:rPr>
      </w:pPr>
      <w:r w:rsidRPr="00A02B2F">
        <w:rPr>
          <w:rFonts w:ascii="Calibri" w:eastAsia="SimSun" w:hAnsi="Calibri" w:cs="Calibri"/>
          <w:i/>
          <w:iCs/>
          <w:color w:val="44546A"/>
          <w:lang w:eastAsia="zh-CN"/>
        </w:rPr>
        <w:t xml:space="preserve">Figure </w:t>
      </w:r>
      <w:r w:rsidRPr="00A02B2F">
        <w:rPr>
          <w:rFonts w:ascii="Calibri" w:eastAsia="SimSun" w:hAnsi="Calibri" w:cs="Calibri"/>
          <w:i/>
          <w:iCs/>
          <w:color w:val="44546A"/>
          <w:lang w:eastAsia="zh-CN"/>
        </w:rPr>
        <w:fldChar w:fldCharType="begin"/>
      </w:r>
      <w:r w:rsidRPr="00A02B2F">
        <w:rPr>
          <w:rFonts w:ascii="Calibri" w:eastAsia="SimSun" w:hAnsi="Calibri" w:cs="Calibri"/>
          <w:i/>
          <w:iCs/>
          <w:color w:val="44546A"/>
          <w:lang w:eastAsia="zh-CN"/>
        </w:rPr>
        <w:instrText xml:space="preserve"> SEQ Figure \* ARABIC </w:instrText>
      </w:r>
      <w:r w:rsidRPr="00A02B2F">
        <w:rPr>
          <w:rFonts w:ascii="Calibri" w:eastAsia="SimSun" w:hAnsi="Calibri" w:cs="Calibri"/>
          <w:i/>
          <w:iCs/>
          <w:color w:val="44546A"/>
          <w:lang w:eastAsia="zh-CN"/>
        </w:rPr>
        <w:fldChar w:fldCharType="separate"/>
      </w:r>
      <w:r w:rsidRPr="00A02B2F">
        <w:rPr>
          <w:rFonts w:ascii="Calibri" w:eastAsia="SimSun" w:hAnsi="Calibri" w:cs="Calibri"/>
          <w:i/>
          <w:iCs/>
          <w:noProof/>
          <w:color w:val="44546A"/>
          <w:lang w:eastAsia="zh-CN"/>
        </w:rPr>
        <w:t>2</w:t>
      </w:r>
      <w:r w:rsidRPr="00A02B2F">
        <w:rPr>
          <w:rFonts w:ascii="Calibri" w:eastAsia="SimSun" w:hAnsi="Calibri" w:cs="Calibri"/>
          <w:i/>
          <w:iCs/>
          <w:color w:val="44546A"/>
          <w:lang w:eastAsia="zh-CN"/>
        </w:rPr>
        <w:fldChar w:fldCharType="end"/>
      </w:r>
      <w:r w:rsidRPr="00A02B2F">
        <w:rPr>
          <w:rFonts w:ascii="Calibri" w:eastAsia="SimSun" w:hAnsi="Calibri" w:cs="Calibri"/>
          <w:i/>
          <w:iCs/>
          <w:color w:val="44546A"/>
          <w:lang w:eastAsia="zh-CN"/>
        </w:rPr>
        <w:t>- illustrative examples of minimum carbon price trajectories</w:t>
      </w:r>
    </w:p>
    <w:p w:rsidR="00A02B2F" w:rsidRPr="00A02B2F" w:rsidRDefault="00A02B2F" w:rsidP="00A02B2F">
      <w:pPr>
        <w:contextualSpacing/>
        <w:rPr>
          <w:rFonts w:ascii="Calibri" w:eastAsia="SimSun" w:hAnsi="Calibri" w:cs="Calibri"/>
          <w:highlight w:val="yellow"/>
          <w:lang w:eastAsia="zh-CN"/>
        </w:rPr>
      </w:pPr>
      <w:r w:rsidRPr="00A02B2F">
        <w:rPr>
          <w:rFonts w:ascii="Calibri" w:eastAsia="SimSun" w:hAnsi="Calibri" w:cs="Calibri"/>
          <w:noProof/>
          <w:lang w:eastAsia="en-GB"/>
        </w:rPr>
        <w:drawing>
          <wp:inline distT="0" distB="0" distL="0" distR="0">
            <wp:extent cx="5962650" cy="2533705"/>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69022" cy="2536413"/>
                    </a:xfrm>
                    <a:prstGeom prst="rect">
                      <a:avLst/>
                    </a:prstGeom>
                    <a:noFill/>
                  </pic:spPr>
                </pic:pic>
              </a:graphicData>
            </a:graphic>
          </wp:inline>
        </w:drawing>
      </w:r>
    </w:p>
    <w:p w:rsidR="00A02B2F" w:rsidRPr="00A02B2F" w:rsidRDefault="00A02B2F" w:rsidP="00A02B2F">
      <w:pPr>
        <w:keepNext/>
        <w:numPr>
          <w:ilvl w:val="2"/>
          <w:numId w:val="2"/>
        </w:numPr>
        <w:tabs>
          <w:tab w:val="left" w:pos="708"/>
        </w:tabs>
        <w:suppressAutoHyphens/>
        <w:spacing w:before="100" w:beforeAutospacing="1" w:after="100" w:afterAutospacing="1" w:line="100" w:lineRule="atLeast"/>
        <w:ind w:left="340"/>
        <w:jc w:val="both"/>
        <w:outlineLvl w:val="1"/>
        <w:rPr>
          <w:rFonts w:ascii="Calibri" w:eastAsia="SimSun" w:hAnsi="Calibri" w:cs="Arial"/>
          <w:b/>
          <w:bCs/>
          <w:lang w:eastAsia="zh-CN"/>
        </w:rPr>
      </w:pPr>
      <w:r w:rsidRPr="00A02B2F">
        <w:rPr>
          <w:rFonts w:ascii="Calibri" w:eastAsia="SimSun" w:hAnsi="Calibri" w:cs="Arial"/>
          <w:b/>
          <w:bCs/>
          <w:lang w:eastAsia="zh-CN"/>
        </w:rPr>
        <w:lastRenderedPageBreak/>
        <w:t>Impact of the soft price collar on auction revenues for Member States</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The regulation mechanism within the collar should not have a significant impact on the accumulated auctioning revenues for Member States. Indeed, the loss of revenue due to a potential decrease in volumes (placed in the reserve) should be offset by prices maintained at least at the level of the reserve price (or higher). Indeed, the impact assessments</w:t>
      </w:r>
      <w:r w:rsidRPr="00A02B2F">
        <w:rPr>
          <w:rFonts w:ascii="Calibri" w:eastAsia="SimSun" w:hAnsi="Calibri" w:cs="Calibri"/>
          <w:vertAlign w:val="superscript"/>
          <w:lang w:eastAsia="zh-CN"/>
        </w:rPr>
        <w:footnoteReference w:id="1"/>
      </w:r>
      <w:r w:rsidRPr="00A02B2F">
        <w:rPr>
          <w:rFonts w:ascii="Calibri" w:eastAsia="SimSun" w:hAnsi="Calibri" w:cs="Calibri"/>
          <w:lang w:eastAsia="zh-CN"/>
        </w:rPr>
        <w:t xml:space="preserve"> on the market stability reserve and </w:t>
      </w:r>
      <w:proofErr w:type="spellStart"/>
      <w:r w:rsidRPr="00A02B2F">
        <w:rPr>
          <w:rFonts w:ascii="Calibri" w:eastAsia="SimSun" w:hAnsi="Calibri" w:cs="Calibri"/>
          <w:lang w:eastAsia="zh-CN"/>
        </w:rPr>
        <w:t>backloading</w:t>
      </w:r>
      <w:proofErr w:type="spellEnd"/>
      <w:r w:rsidRPr="00A02B2F">
        <w:rPr>
          <w:rFonts w:ascii="Calibri" w:eastAsia="SimSun" w:hAnsi="Calibri" w:cs="Calibri"/>
          <w:lang w:eastAsia="zh-CN"/>
        </w:rPr>
        <w:t>, which are based on the same principle as the proposed soft price collar, showed that the price effect offsets the volume effect.</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This mechanism could cause uncertainty about when auctioning revenues occur, but this risk can be mitigated: if the floor price path is close to the current projected path of price developments, it is likely that few auctions would be cancelled.</w:t>
      </w:r>
    </w:p>
    <w:p w:rsidR="00A02B2F" w:rsidRPr="00A02B2F" w:rsidRDefault="00A02B2F" w:rsidP="00A02B2F">
      <w:pPr>
        <w:keepNext/>
        <w:numPr>
          <w:ilvl w:val="2"/>
          <w:numId w:val="2"/>
        </w:numPr>
        <w:tabs>
          <w:tab w:val="left" w:pos="708"/>
        </w:tabs>
        <w:suppressAutoHyphens/>
        <w:spacing w:before="100" w:beforeAutospacing="1" w:after="100" w:afterAutospacing="1" w:line="100" w:lineRule="atLeast"/>
        <w:ind w:left="340"/>
        <w:jc w:val="both"/>
        <w:outlineLvl w:val="1"/>
        <w:rPr>
          <w:rFonts w:ascii="Calibri" w:eastAsia="SimSun" w:hAnsi="Calibri" w:cs="Arial"/>
          <w:b/>
          <w:bCs/>
          <w:lang w:eastAsia="zh-CN"/>
        </w:rPr>
      </w:pPr>
      <w:r w:rsidRPr="00A02B2F">
        <w:rPr>
          <w:rFonts w:ascii="Calibri" w:eastAsia="SimSun" w:hAnsi="Calibri" w:cs="Arial"/>
          <w:b/>
          <w:bCs/>
          <w:lang w:eastAsia="zh-CN"/>
        </w:rPr>
        <w:t>Impact of the soft price collar on industrial competitiveness</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To avoid impacts on the competitiveness of the economy, the proposal for a soft carbon price collar needs to be necessarily accompanied by complementary measures to be implemented during the revision of the EU ETS:</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 xml:space="preserve">- </w:t>
      </w:r>
      <w:r w:rsidRPr="00A02B2F">
        <w:rPr>
          <w:rFonts w:ascii="Calibri" w:eastAsia="SimSun" w:hAnsi="Calibri" w:cs="Calibri"/>
          <w:b/>
          <w:lang w:eastAsia="zh-CN"/>
        </w:rPr>
        <w:t>100% free allocation to the most exposed sectors</w:t>
      </w:r>
      <w:r w:rsidRPr="00A02B2F">
        <w:rPr>
          <w:rFonts w:ascii="Calibri" w:eastAsia="SimSun" w:hAnsi="Calibri" w:cs="Calibri"/>
          <w:lang w:eastAsia="zh-CN"/>
        </w:rPr>
        <w:t xml:space="preserve"> by targeting the most vulnerable sectors;</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 xml:space="preserve">- A </w:t>
      </w:r>
      <w:r w:rsidRPr="00A02B2F">
        <w:rPr>
          <w:rFonts w:ascii="Calibri" w:eastAsia="SimSun" w:hAnsi="Calibri" w:cs="Calibri"/>
          <w:b/>
          <w:lang w:eastAsia="zh-CN"/>
        </w:rPr>
        <w:t>more harmonized and more effective system of compensation for indirect costs</w:t>
      </w:r>
      <w:r w:rsidRPr="00A02B2F">
        <w:rPr>
          <w:rFonts w:ascii="Calibri" w:eastAsia="SimSun" w:hAnsi="Calibri" w:cs="Calibri"/>
          <w:lang w:eastAsia="zh-CN"/>
        </w:rPr>
        <w:t>: France will make detailed proposals in this regard in a non-paper to come;</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 xml:space="preserve">- The establishment of a </w:t>
      </w:r>
      <w:r w:rsidRPr="00A02B2F">
        <w:rPr>
          <w:rFonts w:ascii="Calibri" w:eastAsia="SimSun" w:hAnsi="Calibri" w:cs="Calibri"/>
          <w:b/>
          <w:lang w:eastAsia="zh-CN"/>
        </w:rPr>
        <w:t>carbon inclusion mechanism</w:t>
      </w:r>
      <w:r w:rsidRPr="00A02B2F">
        <w:rPr>
          <w:rFonts w:ascii="Calibri" w:eastAsia="SimSun" w:hAnsi="Calibri" w:cs="Calibri"/>
          <w:lang w:eastAsia="zh-CN"/>
        </w:rPr>
        <w:t>, starting with cement;</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 xml:space="preserve">- A </w:t>
      </w:r>
      <w:r w:rsidRPr="00A02B2F">
        <w:rPr>
          <w:rFonts w:ascii="Calibri" w:eastAsia="SimSun" w:hAnsi="Calibri" w:cs="Calibri"/>
          <w:b/>
          <w:lang w:eastAsia="zh-CN"/>
        </w:rPr>
        <w:t>soft ceiling carbon price</w:t>
      </w:r>
      <w:r w:rsidRPr="00A02B2F">
        <w:rPr>
          <w:rFonts w:ascii="Calibri" w:eastAsia="SimSun" w:hAnsi="Calibri" w:cs="Calibri"/>
          <w:lang w:eastAsia="zh-CN"/>
        </w:rPr>
        <w:t>, which leads to establish a soft price collar;</w:t>
      </w:r>
    </w:p>
    <w:p w:rsidR="00A02B2F" w:rsidRPr="00A02B2F" w:rsidRDefault="00A02B2F" w:rsidP="00A02B2F">
      <w:pPr>
        <w:spacing w:before="120" w:after="120" w:line="259" w:lineRule="auto"/>
        <w:jc w:val="both"/>
        <w:rPr>
          <w:rFonts w:ascii="Calibri" w:eastAsia="SimSun" w:hAnsi="Calibri" w:cs="Calibri"/>
          <w:lang w:eastAsia="zh-CN"/>
        </w:rPr>
      </w:pPr>
      <w:r w:rsidRPr="00A02B2F">
        <w:rPr>
          <w:rFonts w:ascii="Calibri" w:eastAsia="SimSun" w:hAnsi="Calibri" w:cs="Calibri"/>
          <w:lang w:eastAsia="zh-CN"/>
        </w:rPr>
        <w:t xml:space="preserve">- An </w:t>
      </w:r>
      <w:r w:rsidRPr="00A02B2F">
        <w:rPr>
          <w:rFonts w:ascii="Calibri" w:eastAsia="SimSun" w:hAnsi="Calibri" w:cs="Calibri"/>
          <w:b/>
          <w:lang w:eastAsia="zh-CN"/>
        </w:rPr>
        <w:t>acceleration of the implementation of the innovation fund</w:t>
      </w:r>
      <w:r w:rsidRPr="00A02B2F">
        <w:rPr>
          <w:rFonts w:ascii="Calibri" w:eastAsia="SimSun" w:hAnsi="Calibri" w:cs="Calibri"/>
          <w:lang w:eastAsia="zh-CN"/>
        </w:rPr>
        <w:t xml:space="preserve"> to stimulate the development of low-carbon technologies in the European economy.</w:t>
      </w:r>
    </w:p>
    <w:p w:rsidR="00A02B2F" w:rsidRPr="00A02B2F" w:rsidRDefault="00A02B2F" w:rsidP="00A02B2F">
      <w:pPr>
        <w:numPr>
          <w:ilvl w:val="0"/>
          <w:numId w:val="1"/>
        </w:numPr>
        <w:spacing w:before="120" w:after="120" w:line="259" w:lineRule="auto"/>
        <w:ind w:left="714" w:hanging="357"/>
        <w:jc w:val="both"/>
        <w:rPr>
          <w:rFonts w:ascii="Calibri" w:eastAsia="SimSun" w:hAnsi="Calibri" w:cs="Calibri"/>
          <w:lang w:eastAsia="zh-CN"/>
        </w:rPr>
      </w:pPr>
      <w:r w:rsidRPr="00A02B2F">
        <w:rPr>
          <w:rFonts w:ascii="Calibri" w:eastAsia="SimSun" w:hAnsi="Calibri" w:cs="Calibri"/>
          <w:lang w:eastAsia="zh-CN"/>
        </w:rPr>
        <w:br w:type="page"/>
      </w:r>
    </w:p>
    <w:p w:rsidR="00A02B2F" w:rsidRPr="00A02B2F" w:rsidRDefault="00A02B2F" w:rsidP="00A02B2F">
      <w:pPr>
        <w:spacing w:after="160" w:line="259" w:lineRule="auto"/>
        <w:rPr>
          <w:rFonts w:ascii="Calibri" w:eastAsia="SimSun" w:hAnsi="Calibri" w:cs="Calibri"/>
          <w:b/>
          <w:u w:val="single"/>
          <w:lang w:eastAsia="zh-CN"/>
        </w:rPr>
      </w:pPr>
      <w:r w:rsidRPr="00A02B2F">
        <w:rPr>
          <w:rFonts w:ascii="Calibri" w:eastAsia="SimSun" w:hAnsi="Calibri" w:cs="Calibri"/>
          <w:b/>
          <w:u w:val="single"/>
          <w:lang w:eastAsia="zh-CN"/>
        </w:rPr>
        <w:lastRenderedPageBreak/>
        <w:t>Annex</w:t>
      </w:r>
      <w:r w:rsidRPr="00A02B2F">
        <w:rPr>
          <w:rFonts w:ascii="Calibri" w:eastAsia="SimSun" w:hAnsi="Calibri" w:cs="Calibri"/>
          <w:b/>
          <w:lang w:eastAsia="zh-CN"/>
        </w:rPr>
        <w:t xml:space="preserve">: </w:t>
      </w:r>
      <w:r w:rsidRPr="00A02B2F">
        <w:rPr>
          <w:rFonts w:ascii="Calibri" w:eastAsia="SimSun" w:hAnsi="Calibri" w:cs="Calibri"/>
          <w:lang w:eastAsia="zh-CN"/>
        </w:rPr>
        <w:t>successful experiences of carbon markets operating with a minimum floor price for GHG allowances</w:t>
      </w:r>
    </w:p>
    <w:tbl>
      <w:tblPr>
        <w:tblStyle w:val="MediumGrid3-Accent11"/>
        <w:tblW w:w="0" w:type="auto"/>
        <w:tblLook w:val="04A0"/>
      </w:tblPr>
      <w:tblGrid>
        <w:gridCol w:w="3060"/>
        <w:gridCol w:w="3053"/>
        <w:gridCol w:w="3051"/>
      </w:tblGrid>
      <w:tr w:rsidR="00A02B2F" w:rsidRPr="00A02B2F" w:rsidTr="0091043C">
        <w:trPr>
          <w:cnfStyle w:val="100000000000"/>
        </w:trPr>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 xml:space="preserve">Carbon </w:t>
            </w:r>
            <w:proofErr w:type="spellStart"/>
            <w:r w:rsidRPr="00A02B2F">
              <w:rPr>
                <w:rFonts w:cs="Arial"/>
                <w:sz w:val="20"/>
                <w:szCs w:val="20"/>
                <w:lang w:eastAsia="zh-CN"/>
              </w:rPr>
              <w:t>markets</w:t>
            </w:r>
            <w:proofErr w:type="spellEnd"/>
          </w:p>
        </w:tc>
        <w:tc>
          <w:tcPr>
            <w:tcW w:w="3053" w:type="dxa"/>
          </w:tcPr>
          <w:p w:rsidR="00A02B2F" w:rsidRPr="00A02B2F" w:rsidRDefault="00A02B2F" w:rsidP="00A02B2F">
            <w:pPr>
              <w:spacing w:before="120" w:after="120"/>
              <w:cnfStyle w:val="100000000000"/>
              <w:rPr>
                <w:rFonts w:cs="Arial"/>
                <w:sz w:val="20"/>
                <w:szCs w:val="20"/>
                <w:lang w:eastAsia="zh-CN"/>
              </w:rPr>
            </w:pPr>
            <w:r w:rsidRPr="00A02B2F">
              <w:rPr>
                <w:rFonts w:cs="Arial"/>
                <w:sz w:val="20"/>
                <w:szCs w:val="20"/>
                <w:lang w:eastAsia="zh-CN"/>
              </w:rPr>
              <w:t xml:space="preserve">Minimum </w:t>
            </w:r>
            <w:proofErr w:type="spellStart"/>
            <w:r w:rsidRPr="00A02B2F">
              <w:rPr>
                <w:rFonts w:cs="Arial"/>
                <w:sz w:val="20"/>
                <w:szCs w:val="20"/>
                <w:lang w:eastAsia="zh-CN"/>
              </w:rPr>
              <w:t>price</w:t>
            </w:r>
            <w:proofErr w:type="spellEnd"/>
            <w:r w:rsidRPr="00A02B2F">
              <w:rPr>
                <w:rFonts w:cs="Arial"/>
                <w:sz w:val="20"/>
                <w:szCs w:val="20"/>
                <w:lang w:eastAsia="zh-CN"/>
              </w:rPr>
              <w:t xml:space="preserve"> per tCO</w:t>
            </w:r>
            <w:r w:rsidRPr="00A02B2F">
              <w:rPr>
                <w:rFonts w:cs="Arial"/>
                <w:sz w:val="20"/>
                <w:szCs w:val="20"/>
                <w:vertAlign w:val="subscript"/>
                <w:lang w:eastAsia="zh-CN"/>
              </w:rPr>
              <w:t>2</w:t>
            </w:r>
          </w:p>
        </w:tc>
        <w:tc>
          <w:tcPr>
            <w:tcW w:w="3051" w:type="dxa"/>
          </w:tcPr>
          <w:p w:rsidR="00A02B2F" w:rsidRPr="00A02B2F" w:rsidRDefault="00A02B2F" w:rsidP="00A02B2F">
            <w:pPr>
              <w:spacing w:before="120" w:after="120"/>
              <w:cnfStyle w:val="100000000000"/>
              <w:rPr>
                <w:rFonts w:cs="Arial"/>
                <w:sz w:val="20"/>
                <w:szCs w:val="20"/>
                <w:lang w:eastAsia="zh-CN"/>
              </w:rPr>
            </w:pPr>
            <w:r w:rsidRPr="00A02B2F">
              <w:rPr>
                <w:rFonts w:cs="Arial"/>
                <w:sz w:val="20"/>
                <w:szCs w:val="20"/>
                <w:lang w:eastAsia="zh-CN"/>
              </w:rPr>
              <w:t xml:space="preserve">Maximum </w:t>
            </w:r>
            <w:proofErr w:type="spellStart"/>
            <w:r w:rsidRPr="00A02B2F">
              <w:rPr>
                <w:rFonts w:cs="Arial"/>
                <w:sz w:val="20"/>
                <w:szCs w:val="20"/>
                <w:lang w:eastAsia="zh-CN"/>
              </w:rPr>
              <w:t>price</w:t>
            </w:r>
            <w:proofErr w:type="spellEnd"/>
            <w:r w:rsidRPr="00A02B2F">
              <w:rPr>
                <w:rFonts w:cs="Arial"/>
                <w:sz w:val="20"/>
                <w:szCs w:val="20"/>
                <w:lang w:eastAsia="zh-CN"/>
              </w:rPr>
              <w:t xml:space="preserve"> per tCO</w:t>
            </w:r>
            <w:r w:rsidRPr="00A02B2F">
              <w:rPr>
                <w:rFonts w:cs="Arial"/>
                <w:sz w:val="20"/>
                <w:szCs w:val="20"/>
                <w:vertAlign w:val="subscript"/>
                <w:lang w:eastAsia="zh-CN"/>
              </w:rPr>
              <w:t>2</w:t>
            </w:r>
          </w:p>
        </w:tc>
      </w:tr>
      <w:tr w:rsidR="00A02B2F" w:rsidRPr="00A02B2F" w:rsidTr="0091043C">
        <w:trPr>
          <w:cnfStyle w:val="000000100000"/>
        </w:trPr>
        <w:tc>
          <w:tcPr>
            <w:cnfStyle w:val="001000000000"/>
            <w:tcW w:w="3060" w:type="dxa"/>
          </w:tcPr>
          <w:p w:rsidR="00A02B2F" w:rsidRPr="00A02B2F" w:rsidRDefault="00A02B2F" w:rsidP="00A02B2F">
            <w:pPr>
              <w:spacing w:before="120" w:after="120"/>
              <w:rPr>
                <w:rFonts w:cs="Arial"/>
                <w:sz w:val="20"/>
                <w:szCs w:val="20"/>
                <w:lang w:eastAsia="zh-CN"/>
              </w:rPr>
            </w:pPr>
            <w:proofErr w:type="spellStart"/>
            <w:r w:rsidRPr="00A02B2F">
              <w:rPr>
                <w:rFonts w:cs="Arial"/>
                <w:sz w:val="20"/>
                <w:szCs w:val="20"/>
                <w:lang w:eastAsia="zh-CN"/>
              </w:rPr>
              <w:t>California</w:t>
            </w:r>
            <w:proofErr w:type="spellEnd"/>
          </w:p>
        </w:tc>
        <w:tc>
          <w:tcPr>
            <w:tcW w:w="3053" w:type="dxa"/>
          </w:tcPr>
          <w:p w:rsidR="00A02B2F" w:rsidRPr="00A02B2F" w:rsidRDefault="00A02B2F" w:rsidP="00A02B2F">
            <w:pPr>
              <w:spacing w:before="120" w:after="120"/>
              <w:cnfStyle w:val="000000100000"/>
              <w:rPr>
                <w:rFonts w:cs="Arial"/>
                <w:b/>
                <w:bCs/>
                <w:sz w:val="20"/>
                <w:szCs w:val="20"/>
                <w:lang w:eastAsia="zh-CN"/>
              </w:rPr>
            </w:pPr>
            <w:r w:rsidRPr="00A02B2F">
              <w:rPr>
                <w:rFonts w:cs="Arial"/>
                <w:b/>
                <w:bCs/>
                <w:sz w:val="20"/>
                <w:szCs w:val="20"/>
                <w:lang w:eastAsia="zh-CN"/>
              </w:rPr>
              <w:t>In2015 : 12.10 USD [10.80 €]  + (5 % + inflation) /</w:t>
            </w:r>
            <w:proofErr w:type="spellStart"/>
            <w:r w:rsidRPr="00A02B2F">
              <w:rPr>
                <w:rFonts w:cs="Arial"/>
                <w:b/>
                <w:bCs/>
                <w:sz w:val="20"/>
                <w:szCs w:val="20"/>
                <w:lang w:eastAsia="zh-CN"/>
              </w:rPr>
              <w:t>year</w:t>
            </w:r>
            <w:proofErr w:type="spellEnd"/>
          </w:p>
        </w:tc>
        <w:tc>
          <w:tcPr>
            <w:tcW w:w="3051" w:type="dxa"/>
          </w:tcPr>
          <w:p w:rsidR="00A02B2F" w:rsidRPr="00A02B2F" w:rsidRDefault="00A02B2F" w:rsidP="00A02B2F">
            <w:pPr>
              <w:spacing w:before="120" w:after="120"/>
              <w:cnfStyle w:val="000000100000"/>
              <w:rPr>
                <w:rFonts w:cs="Arial"/>
                <w:b/>
                <w:bCs/>
                <w:sz w:val="20"/>
                <w:szCs w:val="20"/>
                <w:lang w:eastAsia="zh-CN"/>
              </w:rPr>
            </w:pPr>
            <w:r w:rsidRPr="00A02B2F">
              <w:rPr>
                <w:rFonts w:cs="Arial"/>
                <w:b/>
                <w:bCs/>
                <w:sz w:val="20"/>
                <w:szCs w:val="20"/>
                <w:lang w:eastAsia="zh-CN"/>
              </w:rPr>
              <w:t>In 2015</w:t>
            </w:r>
            <w:proofErr w:type="gramStart"/>
            <w:r w:rsidRPr="00A02B2F">
              <w:rPr>
                <w:rFonts w:cs="Arial"/>
                <w:b/>
                <w:bCs/>
                <w:sz w:val="20"/>
                <w:szCs w:val="20"/>
                <w:lang w:eastAsia="zh-CN"/>
              </w:rPr>
              <w:t>:  45.20</w:t>
            </w:r>
            <w:proofErr w:type="gramEnd"/>
            <w:r w:rsidRPr="00A02B2F">
              <w:rPr>
                <w:rFonts w:cs="Arial"/>
                <w:b/>
                <w:bCs/>
                <w:sz w:val="20"/>
                <w:szCs w:val="20"/>
                <w:lang w:eastAsia="zh-CN"/>
              </w:rPr>
              <w:t> USD, 50.86, and 56.51 [36.34 € - 45.43 €)+ (5% + inflation) /</w:t>
            </w:r>
            <w:proofErr w:type="spellStart"/>
            <w:r w:rsidRPr="00A02B2F">
              <w:rPr>
                <w:rFonts w:cs="Arial"/>
                <w:b/>
                <w:bCs/>
                <w:sz w:val="20"/>
                <w:szCs w:val="20"/>
                <w:lang w:eastAsia="zh-CN"/>
              </w:rPr>
              <w:t>year</w:t>
            </w:r>
            <w:proofErr w:type="spellEnd"/>
            <w:r w:rsidRPr="00A02B2F">
              <w:rPr>
                <w:rFonts w:cs="Arial"/>
                <w:b/>
                <w:bCs/>
                <w:sz w:val="20"/>
                <w:szCs w:val="20"/>
                <w:lang w:eastAsia="zh-CN"/>
              </w:rPr>
              <w:t>*</w:t>
            </w:r>
          </w:p>
        </w:tc>
      </w:tr>
      <w:tr w:rsidR="00A02B2F" w:rsidRPr="00A02B2F" w:rsidTr="0091043C">
        <w:tc>
          <w:tcPr>
            <w:cnfStyle w:val="001000000000"/>
            <w:tcW w:w="3060" w:type="dxa"/>
          </w:tcPr>
          <w:p w:rsidR="00A02B2F" w:rsidRPr="00A02B2F" w:rsidRDefault="00A02B2F" w:rsidP="00A02B2F">
            <w:pPr>
              <w:spacing w:before="120" w:after="120"/>
              <w:rPr>
                <w:rFonts w:cs="Arial"/>
                <w:sz w:val="20"/>
                <w:szCs w:val="20"/>
                <w:lang w:eastAsia="zh-CN"/>
              </w:rPr>
            </w:pPr>
            <w:proofErr w:type="spellStart"/>
            <w:r w:rsidRPr="00A02B2F">
              <w:rPr>
                <w:rFonts w:cs="Arial"/>
                <w:sz w:val="20"/>
                <w:szCs w:val="20"/>
                <w:lang w:eastAsia="zh-CN"/>
              </w:rPr>
              <w:t>Quebec</w:t>
            </w:r>
            <w:proofErr w:type="spellEnd"/>
          </w:p>
        </w:tc>
        <w:tc>
          <w:tcPr>
            <w:tcW w:w="3053" w:type="dxa"/>
          </w:tcPr>
          <w:p w:rsidR="00A02B2F" w:rsidRPr="00A02B2F" w:rsidRDefault="00A02B2F" w:rsidP="00A02B2F">
            <w:pPr>
              <w:spacing w:before="120" w:after="120"/>
              <w:cnfStyle w:val="000000000000"/>
              <w:rPr>
                <w:rFonts w:cs="Arial"/>
                <w:b/>
                <w:bCs/>
                <w:sz w:val="20"/>
                <w:szCs w:val="20"/>
                <w:lang w:eastAsia="zh-CN"/>
              </w:rPr>
            </w:pPr>
            <w:r w:rsidRPr="00A02B2F">
              <w:rPr>
                <w:rFonts w:cs="Arial"/>
                <w:b/>
                <w:bCs/>
                <w:sz w:val="20"/>
                <w:szCs w:val="20"/>
                <w:lang w:eastAsia="zh-CN"/>
              </w:rPr>
              <w:t>In 2015 : 12.08 CAD [7.80€] + (5% + inflation) /an</w:t>
            </w:r>
          </w:p>
        </w:tc>
        <w:tc>
          <w:tcPr>
            <w:tcW w:w="3051" w:type="dxa"/>
          </w:tcPr>
          <w:p w:rsidR="00A02B2F" w:rsidRPr="00A02B2F" w:rsidRDefault="00A02B2F" w:rsidP="00A02B2F">
            <w:pPr>
              <w:spacing w:before="120" w:after="120"/>
              <w:cnfStyle w:val="000000000000"/>
              <w:rPr>
                <w:rFonts w:cs="Arial"/>
                <w:b/>
                <w:bCs/>
                <w:sz w:val="20"/>
                <w:szCs w:val="20"/>
                <w:lang w:eastAsia="zh-CN"/>
              </w:rPr>
            </w:pPr>
            <w:proofErr w:type="spellStart"/>
            <w:r w:rsidRPr="00A02B2F">
              <w:rPr>
                <w:rFonts w:cs="Arial"/>
                <w:b/>
                <w:bCs/>
                <w:sz w:val="20"/>
                <w:szCs w:val="20"/>
                <w:lang w:eastAsia="zh-CN"/>
              </w:rPr>
              <w:t>Convert</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from</w:t>
            </w:r>
            <w:proofErr w:type="spellEnd"/>
            <w:r w:rsidRPr="00A02B2F">
              <w:rPr>
                <w:rFonts w:cs="Arial"/>
                <w:b/>
                <w:bCs/>
                <w:sz w:val="20"/>
                <w:szCs w:val="20"/>
                <w:lang w:eastAsia="zh-CN"/>
              </w:rPr>
              <w:t xml:space="preserve"> the </w:t>
            </w:r>
            <w:proofErr w:type="spellStart"/>
            <w:r w:rsidRPr="00A02B2F">
              <w:rPr>
                <w:rFonts w:cs="Arial"/>
                <w:b/>
                <w:bCs/>
                <w:sz w:val="20"/>
                <w:szCs w:val="20"/>
                <w:lang w:eastAsia="zh-CN"/>
              </w:rPr>
              <w:t>Californian</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price</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ceiling</w:t>
            </w:r>
            <w:proofErr w:type="spellEnd"/>
            <w:r w:rsidRPr="00A02B2F">
              <w:rPr>
                <w:rFonts w:cs="Arial"/>
                <w:b/>
                <w:bCs/>
                <w:sz w:val="20"/>
                <w:szCs w:val="20"/>
                <w:lang w:eastAsia="zh-CN"/>
              </w:rPr>
              <w:t>**</w:t>
            </w:r>
          </w:p>
          <w:p w:rsidR="00A02B2F" w:rsidRPr="00A02B2F" w:rsidRDefault="00A02B2F" w:rsidP="00A02B2F">
            <w:pPr>
              <w:spacing w:before="120" w:after="120"/>
              <w:cnfStyle w:val="000000000000"/>
              <w:rPr>
                <w:rFonts w:cs="Arial"/>
                <w:b/>
                <w:bCs/>
                <w:sz w:val="20"/>
                <w:szCs w:val="20"/>
                <w:lang w:eastAsia="zh-CN"/>
              </w:rPr>
            </w:pPr>
            <w:r w:rsidRPr="00A02B2F">
              <w:rPr>
                <w:rFonts w:cs="Arial"/>
                <w:b/>
                <w:bCs/>
                <w:sz w:val="20"/>
                <w:szCs w:val="20"/>
                <w:lang w:eastAsia="zh-CN"/>
              </w:rPr>
              <w:t>In 2015 : 44.96 CAD, 50.58, 56.2 CAD [29 € - 36€]</w:t>
            </w:r>
          </w:p>
        </w:tc>
      </w:tr>
      <w:tr w:rsidR="00A02B2F" w:rsidRPr="00A02B2F" w:rsidTr="0091043C">
        <w:trPr>
          <w:cnfStyle w:val="000000100000"/>
        </w:trPr>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RGGI</w:t>
            </w:r>
          </w:p>
        </w:tc>
        <w:tc>
          <w:tcPr>
            <w:tcW w:w="3053" w:type="dxa"/>
          </w:tcPr>
          <w:p w:rsidR="00A02B2F" w:rsidRPr="00A02B2F" w:rsidRDefault="00A02B2F" w:rsidP="00A02B2F">
            <w:pPr>
              <w:spacing w:before="120" w:after="120"/>
              <w:cnfStyle w:val="000000100000"/>
              <w:rPr>
                <w:rFonts w:cs="Arial"/>
                <w:b/>
                <w:bCs/>
                <w:sz w:val="20"/>
                <w:szCs w:val="20"/>
                <w:lang w:eastAsia="zh-CN"/>
              </w:rPr>
            </w:pPr>
            <w:r w:rsidRPr="00A02B2F">
              <w:rPr>
                <w:rFonts w:cs="Arial"/>
                <w:b/>
                <w:bCs/>
                <w:sz w:val="20"/>
                <w:szCs w:val="20"/>
                <w:lang w:eastAsia="zh-CN"/>
              </w:rPr>
              <w:t>2014 : 2.00 USD [1.78€</w:t>
            </w:r>
            <w:proofErr w:type="gramStart"/>
            <w:r w:rsidRPr="00A02B2F">
              <w:rPr>
                <w:rFonts w:cs="Arial"/>
                <w:b/>
                <w:bCs/>
                <w:sz w:val="20"/>
                <w:szCs w:val="20"/>
                <w:lang w:eastAsia="zh-CN"/>
              </w:rPr>
              <w:t>]+</w:t>
            </w:r>
            <w:proofErr w:type="gramEnd"/>
            <w:r w:rsidRPr="00A02B2F">
              <w:rPr>
                <w:rFonts w:cs="Arial"/>
                <w:b/>
                <w:bCs/>
                <w:sz w:val="20"/>
                <w:szCs w:val="20"/>
                <w:lang w:eastAsia="zh-CN"/>
              </w:rPr>
              <w:t xml:space="preserve"> 2.5%/an</w:t>
            </w:r>
          </w:p>
        </w:tc>
        <w:tc>
          <w:tcPr>
            <w:tcW w:w="3051" w:type="dxa"/>
          </w:tcPr>
          <w:p w:rsidR="00A02B2F" w:rsidRPr="00A02B2F" w:rsidRDefault="00A02B2F" w:rsidP="00A02B2F">
            <w:pPr>
              <w:spacing w:before="120" w:after="120"/>
              <w:cnfStyle w:val="000000100000"/>
              <w:rPr>
                <w:rFonts w:cs="Arial"/>
                <w:b/>
                <w:bCs/>
                <w:sz w:val="20"/>
                <w:szCs w:val="20"/>
                <w:lang w:eastAsia="zh-CN"/>
              </w:rPr>
            </w:pPr>
            <w:r w:rsidRPr="00A02B2F">
              <w:rPr>
                <w:rFonts w:cs="Arial"/>
                <w:b/>
                <w:bCs/>
                <w:sz w:val="20"/>
                <w:szCs w:val="20"/>
                <w:lang w:eastAsia="zh-CN"/>
              </w:rPr>
              <w:t xml:space="preserve">2014 : 4.00 USD [3.56€] </w:t>
            </w:r>
            <w:proofErr w:type="spellStart"/>
            <w:r w:rsidRPr="00A02B2F">
              <w:rPr>
                <w:rFonts w:cs="Arial"/>
                <w:b/>
                <w:bCs/>
                <w:sz w:val="20"/>
                <w:szCs w:val="20"/>
                <w:lang w:eastAsia="zh-CN"/>
              </w:rPr>
              <w:t>increasing</w:t>
            </w:r>
            <w:proofErr w:type="spellEnd"/>
            <w:r w:rsidRPr="00A02B2F">
              <w:rPr>
                <w:rFonts w:cs="Arial"/>
                <w:b/>
                <w:bCs/>
                <w:sz w:val="20"/>
                <w:szCs w:val="20"/>
                <w:lang w:eastAsia="zh-CN"/>
              </w:rPr>
              <w:t xml:space="preserve"> to 10.77USD [9.61€] in 2020**</w:t>
            </w:r>
          </w:p>
        </w:tc>
      </w:tr>
      <w:tr w:rsidR="00A02B2F" w:rsidRPr="00A02B2F" w:rsidTr="0091043C">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Beijing</w:t>
            </w:r>
          </w:p>
        </w:tc>
        <w:tc>
          <w:tcPr>
            <w:tcW w:w="3053" w:type="dxa"/>
          </w:tcPr>
          <w:p w:rsidR="00A02B2F" w:rsidRPr="00A02B2F" w:rsidRDefault="00A02B2F" w:rsidP="00A02B2F">
            <w:pPr>
              <w:spacing w:before="120" w:after="120"/>
              <w:cnfStyle w:val="000000000000"/>
              <w:rPr>
                <w:rFonts w:cs="Arial"/>
                <w:b/>
                <w:bCs/>
                <w:sz w:val="20"/>
                <w:szCs w:val="20"/>
                <w:lang w:eastAsia="zh-CN"/>
              </w:rPr>
            </w:pPr>
            <w:proofErr w:type="spellStart"/>
            <w:r w:rsidRPr="00A02B2F">
              <w:rPr>
                <w:rFonts w:cs="Arial"/>
                <w:b/>
                <w:bCs/>
                <w:sz w:val="20"/>
                <w:szCs w:val="20"/>
                <w:lang w:eastAsia="zh-CN"/>
              </w:rPr>
              <w:t>Government</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can</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buy</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allowances</w:t>
            </w:r>
            <w:proofErr w:type="spellEnd"/>
            <w:r w:rsidRPr="00A02B2F">
              <w:rPr>
                <w:rFonts w:cs="Arial"/>
                <w:b/>
                <w:bCs/>
                <w:sz w:val="20"/>
                <w:szCs w:val="20"/>
                <w:lang w:eastAsia="zh-CN"/>
              </w:rPr>
              <w:t xml:space="preserve"> on the </w:t>
            </w:r>
            <w:proofErr w:type="spellStart"/>
            <w:r w:rsidRPr="00A02B2F">
              <w:rPr>
                <w:rFonts w:cs="Arial"/>
                <w:b/>
                <w:bCs/>
                <w:sz w:val="20"/>
                <w:szCs w:val="20"/>
                <w:lang w:eastAsia="zh-CN"/>
              </w:rPr>
              <w:t>market</w:t>
            </w:r>
            <w:proofErr w:type="spellEnd"/>
            <w:r w:rsidRPr="00A02B2F">
              <w:rPr>
                <w:rFonts w:cs="Arial"/>
                <w:b/>
                <w:bCs/>
                <w:sz w:val="20"/>
                <w:szCs w:val="20"/>
                <w:lang w:eastAsia="zh-CN"/>
              </w:rPr>
              <w:t xml:space="preserve"> if the </w:t>
            </w:r>
            <w:proofErr w:type="spellStart"/>
            <w:r w:rsidRPr="00A02B2F">
              <w:rPr>
                <w:rFonts w:cs="Arial"/>
                <w:b/>
                <w:bCs/>
                <w:sz w:val="20"/>
                <w:szCs w:val="20"/>
                <w:lang w:eastAsia="zh-CN"/>
              </w:rPr>
              <w:t>average</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carbon</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price</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during</w:t>
            </w:r>
            <w:proofErr w:type="spellEnd"/>
            <w:r w:rsidRPr="00A02B2F">
              <w:rPr>
                <w:rFonts w:cs="Arial"/>
                <w:b/>
                <w:bCs/>
                <w:sz w:val="20"/>
                <w:szCs w:val="20"/>
                <w:lang w:eastAsia="zh-CN"/>
              </w:rPr>
              <w:t xml:space="preserve"> 10 </w:t>
            </w:r>
            <w:proofErr w:type="spellStart"/>
            <w:r w:rsidRPr="00A02B2F">
              <w:rPr>
                <w:rFonts w:cs="Arial"/>
                <w:b/>
                <w:bCs/>
                <w:sz w:val="20"/>
                <w:szCs w:val="20"/>
                <w:lang w:eastAsia="zh-CN"/>
              </w:rPr>
              <w:t>days</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is</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lower</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than</w:t>
            </w:r>
            <w:proofErr w:type="spellEnd"/>
            <w:r w:rsidRPr="00A02B2F">
              <w:rPr>
                <w:rFonts w:cs="Arial"/>
                <w:b/>
                <w:bCs/>
                <w:sz w:val="20"/>
                <w:szCs w:val="20"/>
                <w:lang w:eastAsia="zh-CN"/>
              </w:rPr>
              <w:t xml:space="preserve"> 20 yuan [2.7€]</w:t>
            </w:r>
          </w:p>
        </w:tc>
        <w:tc>
          <w:tcPr>
            <w:tcW w:w="3051" w:type="dxa"/>
          </w:tcPr>
          <w:p w:rsidR="00A02B2F" w:rsidRPr="00A02B2F" w:rsidRDefault="00A02B2F" w:rsidP="00A02B2F">
            <w:pPr>
              <w:spacing w:before="120" w:after="120"/>
              <w:cnfStyle w:val="000000000000"/>
              <w:rPr>
                <w:rFonts w:cs="Arial"/>
                <w:b/>
                <w:bCs/>
                <w:sz w:val="20"/>
                <w:szCs w:val="20"/>
                <w:lang w:eastAsia="zh-CN"/>
              </w:rPr>
            </w:pPr>
            <w:proofErr w:type="spellStart"/>
            <w:r w:rsidRPr="00A02B2F">
              <w:rPr>
                <w:rFonts w:cs="Arial"/>
                <w:b/>
                <w:bCs/>
                <w:sz w:val="20"/>
                <w:szCs w:val="20"/>
                <w:lang w:eastAsia="zh-CN"/>
              </w:rPr>
              <w:t>Government</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can</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sell</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allowances</w:t>
            </w:r>
            <w:proofErr w:type="spellEnd"/>
            <w:r w:rsidRPr="00A02B2F">
              <w:rPr>
                <w:rFonts w:cs="Arial"/>
                <w:b/>
                <w:bCs/>
                <w:sz w:val="20"/>
                <w:szCs w:val="20"/>
                <w:lang w:eastAsia="zh-CN"/>
              </w:rPr>
              <w:t xml:space="preserve"> on the </w:t>
            </w:r>
            <w:proofErr w:type="spellStart"/>
            <w:r w:rsidRPr="00A02B2F">
              <w:rPr>
                <w:rFonts w:cs="Arial"/>
                <w:b/>
                <w:bCs/>
                <w:sz w:val="20"/>
                <w:szCs w:val="20"/>
                <w:lang w:eastAsia="zh-CN"/>
              </w:rPr>
              <w:t>market</w:t>
            </w:r>
            <w:proofErr w:type="spellEnd"/>
            <w:r w:rsidRPr="00A02B2F">
              <w:rPr>
                <w:rFonts w:cs="Arial"/>
                <w:b/>
                <w:bCs/>
                <w:sz w:val="20"/>
                <w:szCs w:val="20"/>
                <w:lang w:eastAsia="zh-CN"/>
              </w:rPr>
              <w:t xml:space="preserve"> if the </w:t>
            </w:r>
            <w:proofErr w:type="spellStart"/>
            <w:r w:rsidRPr="00A02B2F">
              <w:rPr>
                <w:rFonts w:cs="Arial"/>
                <w:b/>
                <w:bCs/>
                <w:sz w:val="20"/>
                <w:szCs w:val="20"/>
                <w:lang w:eastAsia="zh-CN"/>
              </w:rPr>
              <w:t>average</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carbon</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price</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during</w:t>
            </w:r>
            <w:proofErr w:type="spellEnd"/>
            <w:r w:rsidRPr="00A02B2F">
              <w:rPr>
                <w:rFonts w:cs="Arial"/>
                <w:b/>
                <w:bCs/>
                <w:sz w:val="20"/>
                <w:szCs w:val="20"/>
                <w:lang w:eastAsia="zh-CN"/>
              </w:rPr>
              <w:t xml:space="preserve"> 10 </w:t>
            </w:r>
            <w:proofErr w:type="spellStart"/>
            <w:r w:rsidRPr="00A02B2F">
              <w:rPr>
                <w:rFonts w:cs="Arial"/>
                <w:b/>
                <w:bCs/>
                <w:sz w:val="20"/>
                <w:szCs w:val="20"/>
                <w:lang w:eastAsia="zh-CN"/>
              </w:rPr>
              <w:t>days</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is</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higher</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than</w:t>
            </w:r>
            <w:proofErr w:type="spellEnd"/>
            <w:r w:rsidRPr="00A02B2F">
              <w:rPr>
                <w:rFonts w:cs="Arial"/>
                <w:b/>
                <w:bCs/>
                <w:sz w:val="20"/>
                <w:szCs w:val="20"/>
                <w:lang w:eastAsia="zh-CN"/>
              </w:rPr>
              <w:t xml:space="preserve"> 150 yuan [20.7€]</w:t>
            </w:r>
          </w:p>
        </w:tc>
      </w:tr>
      <w:tr w:rsidR="00A02B2F" w:rsidRPr="00A02B2F" w:rsidTr="0091043C">
        <w:trPr>
          <w:cnfStyle w:val="000000100000"/>
        </w:trPr>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Guangdong</w:t>
            </w:r>
          </w:p>
        </w:tc>
        <w:tc>
          <w:tcPr>
            <w:tcW w:w="3053" w:type="dxa"/>
          </w:tcPr>
          <w:p w:rsidR="00A02B2F" w:rsidRPr="00A02B2F" w:rsidRDefault="00A02B2F" w:rsidP="00A02B2F">
            <w:pPr>
              <w:spacing w:before="120" w:after="120"/>
              <w:cnfStyle w:val="000000100000"/>
              <w:rPr>
                <w:rFonts w:cs="Arial"/>
                <w:b/>
                <w:bCs/>
                <w:sz w:val="20"/>
                <w:szCs w:val="20"/>
                <w:lang w:eastAsia="zh-CN"/>
              </w:rPr>
            </w:pPr>
            <w:r w:rsidRPr="00A02B2F">
              <w:rPr>
                <w:rFonts w:cs="Calibri"/>
                <w:b/>
                <w:sz w:val="20"/>
                <w:szCs w:val="20"/>
                <w:lang w:eastAsia="zh-CN"/>
              </w:rPr>
              <w:t xml:space="preserve">CNY 25 </w:t>
            </w:r>
            <w:r w:rsidRPr="00A02B2F">
              <w:rPr>
                <w:rFonts w:cs="Arial"/>
                <w:b/>
                <w:bCs/>
                <w:sz w:val="20"/>
                <w:szCs w:val="20"/>
                <w:lang w:eastAsia="zh-CN"/>
              </w:rPr>
              <w:t xml:space="preserve">[3.27 €] à CNY40 [5.24 €] + CNY5 [0.65 €] to </w:t>
            </w:r>
            <w:proofErr w:type="spellStart"/>
            <w:r w:rsidRPr="00A02B2F">
              <w:rPr>
                <w:rFonts w:cs="Arial"/>
                <w:b/>
                <w:bCs/>
                <w:sz w:val="20"/>
                <w:szCs w:val="20"/>
                <w:lang w:eastAsia="zh-CN"/>
              </w:rPr>
              <w:t>each</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quarterly</w:t>
            </w:r>
            <w:proofErr w:type="spellEnd"/>
            <w:r w:rsidRPr="00A02B2F">
              <w:rPr>
                <w:rFonts w:cs="Arial"/>
                <w:b/>
                <w:bCs/>
                <w:sz w:val="20"/>
                <w:szCs w:val="20"/>
                <w:lang w:eastAsia="zh-CN"/>
              </w:rPr>
              <w:t xml:space="preserve"> </w:t>
            </w:r>
            <w:proofErr w:type="spellStart"/>
            <w:r w:rsidRPr="00A02B2F">
              <w:rPr>
                <w:rFonts w:cs="Arial"/>
                <w:b/>
                <w:bCs/>
                <w:sz w:val="20"/>
                <w:szCs w:val="20"/>
                <w:lang w:eastAsia="zh-CN"/>
              </w:rPr>
              <w:t>auction</w:t>
            </w:r>
            <w:proofErr w:type="spellEnd"/>
          </w:p>
        </w:tc>
        <w:tc>
          <w:tcPr>
            <w:tcW w:w="3051" w:type="dxa"/>
          </w:tcPr>
          <w:p w:rsidR="00A02B2F" w:rsidRPr="00A02B2F" w:rsidRDefault="00A02B2F" w:rsidP="00A02B2F">
            <w:pPr>
              <w:spacing w:before="120" w:after="120"/>
              <w:cnfStyle w:val="000000100000"/>
              <w:rPr>
                <w:rFonts w:cs="Arial"/>
                <w:b/>
                <w:bCs/>
                <w:sz w:val="20"/>
                <w:szCs w:val="20"/>
                <w:lang w:eastAsia="zh-CN"/>
              </w:rPr>
            </w:pPr>
          </w:p>
        </w:tc>
      </w:tr>
      <w:tr w:rsidR="00A02B2F" w:rsidRPr="00A02B2F" w:rsidTr="0091043C">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 xml:space="preserve">South </w:t>
            </w:r>
            <w:proofErr w:type="spellStart"/>
            <w:r w:rsidRPr="00A02B2F">
              <w:rPr>
                <w:rFonts w:cs="Arial"/>
                <w:sz w:val="20"/>
                <w:szCs w:val="20"/>
                <w:lang w:eastAsia="zh-CN"/>
              </w:rPr>
              <w:t>Korea</w:t>
            </w:r>
            <w:proofErr w:type="spellEnd"/>
          </w:p>
        </w:tc>
        <w:tc>
          <w:tcPr>
            <w:tcW w:w="3053" w:type="dxa"/>
          </w:tcPr>
          <w:p w:rsidR="00A02B2F" w:rsidRPr="00A02B2F" w:rsidRDefault="00A02B2F" w:rsidP="00A02B2F">
            <w:pPr>
              <w:spacing w:before="120" w:after="120"/>
              <w:cnfStyle w:val="000000000000"/>
              <w:rPr>
                <w:rFonts w:cs="Arial"/>
                <w:b/>
                <w:bCs/>
                <w:sz w:val="20"/>
                <w:szCs w:val="20"/>
                <w:lang w:eastAsia="zh-CN"/>
              </w:rPr>
            </w:pPr>
          </w:p>
        </w:tc>
        <w:tc>
          <w:tcPr>
            <w:tcW w:w="3051" w:type="dxa"/>
          </w:tcPr>
          <w:p w:rsidR="00A02B2F" w:rsidRPr="00A02B2F" w:rsidRDefault="00A02B2F" w:rsidP="00A02B2F">
            <w:pPr>
              <w:spacing w:before="120" w:after="120"/>
              <w:cnfStyle w:val="000000000000"/>
              <w:rPr>
                <w:rFonts w:cs="Arial"/>
                <w:b/>
                <w:bCs/>
                <w:sz w:val="20"/>
                <w:szCs w:val="20"/>
                <w:lang w:eastAsia="zh-CN"/>
              </w:rPr>
            </w:pPr>
            <w:r w:rsidRPr="00A02B2F">
              <w:rPr>
                <w:rFonts w:cs="Arial"/>
                <w:b/>
                <w:bCs/>
                <w:sz w:val="20"/>
                <w:szCs w:val="20"/>
                <w:lang w:eastAsia="zh-CN"/>
              </w:rPr>
              <w:t>KRW 10 000 [7 €]</w:t>
            </w:r>
          </w:p>
        </w:tc>
      </w:tr>
      <w:tr w:rsidR="00A02B2F" w:rsidRPr="00A02B2F" w:rsidTr="0091043C">
        <w:trPr>
          <w:cnfStyle w:val="000000100000"/>
        </w:trPr>
        <w:tc>
          <w:tcPr>
            <w:cnfStyle w:val="001000000000"/>
            <w:tcW w:w="3060" w:type="dxa"/>
          </w:tcPr>
          <w:p w:rsidR="00A02B2F" w:rsidRPr="00A02B2F" w:rsidRDefault="00A02B2F" w:rsidP="00A02B2F">
            <w:pPr>
              <w:spacing w:before="120" w:after="120"/>
              <w:rPr>
                <w:rFonts w:cs="Arial"/>
                <w:sz w:val="20"/>
                <w:szCs w:val="20"/>
                <w:lang w:eastAsia="zh-CN"/>
              </w:rPr>
            </w:pPr>
            <w:r w:rsidRPr="00A02B2F">
              <w:rPr>
                <w:rFonts w:cs="Arial"/>
                <w:sz w:val="20"/>
                <w:szCs w:val="20"/>
                <w:lang w:eastAsia="zh-CN"/>
              </w:rPr>
              <w:t xml:space="preserve">New </w:t>
            </w:r>
            <w:proofErr w:type="spellStart"/>
            <w:r w:rsidRPr="00A02B2F">
              <w:rPr>
                <w:rFonts w:cs="Arial"/>
                <w:sz w:val="20"/>
                <w:szCs w:val="20"/>
                <w:lang w:eastAsia="zh-CN"/>
              </w:rPr>
              <w:t>Zealand</w:t>
            </w:r>
            <w:proofErr w:type="spellEnd"/>
          </w:p>
        </w:tc>
        <w:tc>
          <w:tcPr>
            <w:tcW w:w="3053" w:type="dxa"/>
          </w:tcPr>
          <w:p w:rsidR="00A02B2F" w:rsidRPr="00A02B2F" w:rsidRDefault="00A02B2F" w:rsidP="00A02B2F">
            <w:pPr>
              <w:spacing w:before="120" w:after="120"/>
              <w:cnfStyle w:val="000000100000"/>
              <w:rPr>
                <w:rFonts w:cs="Arial"/>
                <w:b/>
                <w:bCs/>
                <w:sz w:val="20"/>
                <w:szCs w:val="20"/>
                <w:lang w:eastAsia="zh-CN"/>
              </w:rPr>
            </w:pPr>
          </w:p>
        </w:tc>
        <w:tc>
          <w:tcPr>
            <w:tcW w:w="3051" w:type="dxa"/>
          </w:tcPr>
          <w:p w:rsidR="00A02B2F" w:rsidRPr="00A02B2F" w:rsidRDefault="00A02B2F" w:rsidP="00A02B2F">
            <w:pPr>
              <w:spacing w:before="120" w:after="120"/>
              <w:cnfStyle w:val="000000100000"/>
              <w:rPr>
                <w:rFonts w:cs="Arial"/>
                <w:b/>
                <w:bCs/>
                <w:sz w:val="20"/>
                <w:szCs w:val="20"/>
                <w:lang w:eastAsia="zh-CN"/>
              </w:rPr>
            </w:pPr>
            <w:r w:rsidRPr="00A02B2F">
              <w:rPr>
                <w:rFonts w:cs="Arial"/>
                <w:b/>
                <w:bCs/>
                <w:sz w:val="20"/>
                <w:szCs w:val="20"/>
                <w:lang w:eastAsia="zh-CN"/>
              </w:rPr>
              <w:t>NZD 25 [16 €]</w:t>
            </w:r>
          </w:p>
        </w:tc>
        <w:bookmarkStart w:id="0" w:name="_GoBack"/>
        <w:bookmarkEnd w:id="0"/>
      </w:tr>
    </w:tbl>
    <w:p w:rsidR="00A02B2F" w:rsidRPr="00A02B2F" w:rsidRDefault="00A02B2F" w:rsidP="00A02B2F">
      <w:pPr>
        <w:spacing w:before="120" w:after="120" w:line="240" w:lineRule="auto"/>
        <w:jc w:val="both"/>
        <w:rPr>
          <w:rFonts w:ascii="Calibri" w:eastAsia="SimSun" w:hAnsi="Calibri" w:cs="Arial"/>
          <w:bCs/>
          <w:lang w:eastAsia="zh-CN"/>
        </w:rPr>
      </w:pPr>
      <w:r w:rsidRPr="00A02B2F">
        <w:rPr>
          <w:rFonts w:ascii="Calibri" w:eastAsia="SimSun" w:hAnsi="Calibri" w:cs="Arial"/>
          <w:bCs/>
          <w:lang w:eastAsia="zh-CN"/>
        </w:rPr>
        <w:t>* To implement the soft ceiling price, allowances can be auctioned, if necessary, at a price ceiling fixed up to around 3-6 times the level of the auction reserve price.</w:t>
      </w:r>
    </w:p>
    <w:p w:rsidR="00A02B2F" w:rsidRPr="00A02B2F" w:rsidRDefault="00A02B2F" w:rsidP="00A02B2F">
      <w:pPr>
        <w:spacing w:before="120" w:after="120" w:line="259" w:lineRule="auto"/>
        <w:jc w:val="both"/>
        <w:rPr>
          <w:rFonts w:ascii="Calibri" w:eastAsia="SimSun" w:hAnsi="Calibri" w:cs="Arial"/>
          <w:bCs/>
          <w:lang w:eastAsia="zh-CN"/>
        </w:rPr>
      </w:pPr>
      <w:r w:rsidRPr="00A02B2F">
        <w:rPr>
          <w:rFonts w:ascii="Calibri" w:eastAsia="SimSun" w:hAnsi="Calibri" w:cs="Arial"/>
          <w:bCs/>
          <w:lang w:eastAsia="zh-CN"/>
        </w:rPr>
        <w:t>** Maximum prices marked with a star are safety valves. Unlike a real price ceiling, they serve to reduce pressure to the temporary upward price by releasing allowances on the market from a pre-existing reserve. They therefore act under the emissions cap determined politically and do not undermine the environmental integrity of the system.</w:t>
      </w:r>
    </w:p>
    <w:p w:rsidR="00A02B2F" w:rsidRPr="00A02B2F" w:rsidRDefault="00A02B2F" w:rsidP="00A02B2F">
      <w:pPr>
        <w:spacing w:after="160" w:line="259" w:lineRule="auto"/>
        <w:jc w:val="right"/>
        <w:rPr>
          <w:rFonts w:ascii="Calibri" w:eastAsia="SimSun" w:hAnsi="Calibri" w:cs="Calibri"/>
          <w:i/>
          <w:sz w:val="18"/>
          <w:lang w:eastAsia="zh-CN"/>
        </w:rPr>
      </w:pPr>
      <w:r w:rsidRPr="00A02B2F">
        <w:rPr>
          <w:rFonts w:ascii="Calibri" w:eastAsia="SimSun" w:hAnsi="Calibri" w:cs="Calibri"/>
          <w:i/>
          <w:sz w:val="18"/>
          <w:lang w:eastAsia="zh-CN"/>
        </w:rPr>
        <w:t xml:space="preserve">Source: Thomson Reuters </w:t>
      </w:r>
      <w:proofErr w:type="gramStart"/>
      <w:r w:rsidRPr="00A02B2F">
        <w:rPr>
          <w:rFonts w:ascii="Calibri" w:eastAsia="SimSun" w:hAnsi="Calibri" w:cs="Calibri"/>
          <w:i/>
          <w:sz w:val="18"/>
          <w:lang w:eastAsia="zh-CN"/>
        </w:rPr>
        <w:t>et</w:t>
      </w:r>
      <w:proofErr w:type="gramEnd"/>
      <w:r w:rsidRPr="00A02B2F">
        <w:rPr>
          <w:rFonts w:ascii="Calibri" w:eastAsia="SimSun" w:hAnsi="Calibri" w:cs="Calibri"/>
          <w:i/>
          <w:sz w:val="18"/>
          <w:lang w:eastAsia="zh-CN"/>
        </w:rPr>
        <w:t xml:space="preserve"> ICAP (last update 29/01/2016), I4CE</w:t>
      </w:r>
    </w:p>
    <w:p w:rsidR="00C639AE" w:rsidRDefault="00C639AE"/>
    <w:sectPr w:rsidR="00C639AE" w:rsidSect="007136CA">
      <w:headerReference w:type="default" r:id="rId9"/>
      <w:footerReference w:type="default" r:id="rId10"/>
      <w:headerReference w:type="first" r:id="rId11"/>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34" w:rsidRDefault="00787E34" w:rsidP="00A02B2F">
      <w:pPr>
        <w:spacing w:after="0" w:line="240" w:lineRule="auto"/>
      </w:pPr>
      <w:r>
        <w:separator/>
      </w:r>
    </w:p>
  </w:endnote>
  <w:endnote w:type="continuationSeparator" w:id="0">
    <w:p w:rsidR="00787E34" w:rsidRDefault="00787E34" w:rsidP="00A0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CD" w:rsidRDefault="00787E34">
    <w:pPr>
      <w:pStyle w:val="Footer"/>
      <w:jc w:val="center"/>
      <w:rPr>
        <w:rFonts w:cs="Times New Roman"/>
      </w:rPr>
    </w:pPr>
    <w:r>
      <w:fldChar w:fldCharType="begin"/>
    </w:r>
    <w:r>
      <w:instrText>PAGE   \* MERGEFORMAT</w:instrText>
    </w:r>
    <w:r>
      <w:fldChar w:fldCharType="separate"/>
    </w:r>
    <w:r w:rsidR="00A02B2F">
      <w:rPr>
        <w:noProof/>
      </w:rPr>
      <w:t>1</w:t>
    </w:r>
    <w:r>
      <w:fldChar w:fldCharType="end"/>
    </w:r>
  </w:p>
  <w:p w:rsidR="006540CD" w:rsidRDefault="00787E3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34" w:rsidRDefault="00787E34" w:rsidP="00A02B2F">
      <w:pPr>
        <w:spacing w:after="0" w:line="240" w:lineRule="auto"/>
      </w:pPr>
      <w:r>
        <w:separator/>
      </w:r>
    </w:p>
  </w:footnote>
  <w:footnote w:type="continuationSeparator" w:id="0">
    <w:p w:rsidR="00787E34" w:rsidRDefault="00787E34" w:rsidP="00A02B2F">
      <w:pPr>
        <w:spacing w:after="0" w:line="240" w:lineRule="auto"/>
      </w:pPr>
      <w:r>
        <w:continuationSeparator/>
      </w:r>
    </w:p>
  </w:footnote>
  <w:footnote w:id="1">
    <w:p w:rsidR="00A02B2F" w:rsidRPr="000A1A4B" w:rsidRDefault="00A02B2F" w:rsidP="00A02B2F">
      <w:pPr>
        <w:pStyle w:val="FootnoteText"/>
        <w:rPr>
          <w:lang w:val="en-US"/>
        </w:rPr>
      </w:pPr>
      <w:r>
        <w:rPr>
          <w:rStyle w:val="FootnoteReference"/>
        </w:rPr>
        <w:footnoteRef/>
      </w:r>
      <w:proofErr w:type="gramStart"/>
      <w:r w:rsidRPr="000A1A4B">
        <w:rPr>
          <w:lang w:val="en-US"/>
        </w:rPr>
        <w:t>Impact assessments from the European Commission and from specialized analysts and investments companies.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CD" w:rsidRDefault="00787E34" w:rsidP="00C1362F">
    <w:pPr>
      <w:pStyle w:val="Header"/>
      <w:tabs>
        <w:tab w:val="clear" w:pos="4513"/>
      </w:tabs>
      <w:jc w:val="right"/>
      <w:rPr>
        <w:rFonts w:cs="Times New Roman"/>
      </w:rPr>
    </w:pPr>
    <w:r>
      <w:rPr>
        <w:rFonts w:cs="Times New Roman"/>
      </w:rPr>
      <w:t>February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CD" w:rsidRDefault="00787E34" w:rsidP="002E0A18">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35D"/>
    <w:multiLevelType w:val="hybridMultilevel"/>
    <w:tmpl w:val="468E442A"/>
    <w:lvl w:ilvl="0" w:tplc="F740F74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C3C2FF6"/>
    <w:multiLevelType w:val="hybridMultilevel"/>
    <w:tmpl w:val="545A8AD6"/>
    <w:lvl w:ilvl="0" w:tplc="F740F7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B7931AF"/>
    <w:multiLevelType w:val="multilevel"/>
    <w:tmpl w:val="49361564"/>
    <w:lvl w:ilvl="0">
      <w:start w:val="1"/>
      <w:numFmt w:val="upperRoman"/>
      <w:lvlText w:val="%1."/>
      <w:lvlJc w:val="left"/>
      <w:rPr>
        <w:rFonts w:hint="default"/>
        <w:color w:val="auto"/>
      </w:rPr>
    </w:lvl>
    <w:lvl w:ilvl="1">
      <w:start w:val="1"/>
      <w:numFmt w:val="upperLetter"/>
      <w:lvlText w:val="%2."/>
      <w:lvlJc w:val="left"/>
      <w:pPr>
        <w:ind w:left="720"/>
      </w:pPr>
      <w:rPr>
        <w:rFonts w:hint="default"/>
      </w:rPr>
    </w:lvl>
    <w:lvl w:ilvl="2">
      <w:start w:val="1"/>
      <w:numFmt w:val="decimal"/>
      <w:lvlText w:val="%3."/>
      <w:lvlJc w:val="left"/>
      <w:pPr>
        <w:ind w:left="1440" w:hanging="110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3">
    <w:nsid w:val="74076FAF"/>
    <w:multiLevelType w:val="hybridMultilevel"/>
    <w:tmpl w:val="5C2690DA"/>
    <w:lvl w:ilvl="0" w:tplc="C6EA977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02B2F"/>
    <w:rsid w:val="00000130"/>
    <w:rsid w:val="00001517"/>
    <w:rsid w:val="00001BE7"/>
    <w:rsid w:val="00001C88"/>
    <w:rsid w:val="00004740"/>
    <w:rsid w:val="00004A82"/>
    <w:rsid w:val="0000586A"/>
    <w:rsid w:val="00007EBD"/>
    <w:rsid w:val="000122F2"/>
    <w:rsid w:val="0001244F"/>
    <w:rsid w:val="0001281D"/>
    <w:rsid w:val="00013293"/>
    <w:rsid w:val="000148DE"/>
    <w:rsid w:val="0001595B"/>
    <w:rsid w:val="000167F9"/>
    <w:rsid w:val="000174A1"/>
    <w:rsid w:val="000217DA"/>
    <w:rsid w:val="0002269B"/>
    <w:rsid w:val="00023DE4"/>
    <w:rsid w:val="0002611A"/>
    <w:rsid w:val="000274DA"/>
    <w:rsid w:val="0002757F"/>
    <w:rsid w:val="00027C05"/>
    <w:rsid w:val="00030778"/>
    <w:rsid w:val="000315BE"/>
    <w:rsid w:val="00031C1B"/>
    <w:rsid w:val="000325DF"/>
    <w:rsid w:val="00033A51"/>
    <w:rsid w:val="00034A83"/>
    <w:rsid w:val="00035813"/>
    <w:rsid w:val="000360E7"/>
    <w:rsid w:val="00037A22"/>
    <w:rsid w:val="00037A32"/>
    <w:rsid w:val="00037EE9"/>
    <w:rsid w:val="000404B1"/>
    <w:rsid w:val="000416B8"/>
    <w:rsid w:val="00043A43"/>
    <w:rsid w:val="00047F2B"/>
    <w:rsid w:val="000516CF"/>
    <w:rsid w:val="00052CF7"/>
    <w:rsid w:val="000542F0"/>
    <w:rsid w:val="00055179"/>
    <w:rsid w:val="0005560E"/>
    <w:rsid w:val="00056699"/>
    <w:rsid w:val="00056B3C"/>
    <w:rsid w:val="000575E8"/>
    <w:rsid w:val="00062851"/>
    <w:rsid w:val="00064AFB"/>
    <w:rsid w:val="00064D33"/>
    <w:rsid w:val="00066C5B"/>
    <w:rsid w:val="00066F4E"/>
    <w:rsid w:val="00070233"/>
    <w:rsid w:val="000717C5"/>
    <w:rsid w:val="00072AF8"/>
    <w:rsid w:val="000743EF"/>
    <w:rsid w:val="00075C8C"/>
    <w:rsid w:val="000767F9"/>
    <w:rsid w:val="00080557"/>
    <w:rsid w:val="00081215"/>
    <w:rsid w:val="00083510"/>
    <w:rsid w:val="00084541"/>
    <w:rsid w:val="0008652F"/>
    <w:rsid w:val="000876EC"/>
    <w:rsid w:val="00087851"/>
    <w:rsid w:val="000900E5"/>
    <w:rsid w:val="000901F6"/>
    <w:rsid w:val="00090F58"/>
    <w:rsid w:val="0009100E"/>
    <w:rsid w:val="00092A8F"/>
    <w:rsid w:val="00092DDA"/>
    <w:rsid w:val="00093324"/>
    <w:rsid w:val="00094399"/>
    <w:rsid w:val="0009454F"/>
    <w:rsid w:val="000949E0"/>
    <w:rsid w:val="000A125A"/>
    <w:rsid w:val="000A1C1E"/>
    <w:rsid w:val="000A2AF4"/>
    <w:rsid w:val="000A4770"/>
    <w:rsid w:val="000A520D"/>
    <w:rsid w:val="000A5574"/>
    <w:rsid w:val="000A5B33"/>
    <w:rsid w:val="000A5C62"/>
    <w:rsid w:val="000A7241"/>
    <w:rsid w:val="000A7F49"/>
    <w:rsid w:val="000B0FF0"/>
    <w:rsid w:val="000B1CA8"/>
    <w:rsid w:val="000B24DC"/>
    <w:rsid w:val="000B3CC4"/>
    <w:rsid w:val="000B4D8E"/>
    <w:rsid w:val="000B5281"/>
    <w:rsid w:val="000B561B"/>
    <w:rsid w:val="000B5A31"/>
    <w:rsid w:val="000B64ED"/>
    <w:rsid w:val="000B6A9E"/>
    <w:rsid w:val="000B7A80"/>
    <w:rsid w:val="000B7F32"/>
    <w:rsid w:val="000C0BE0"/>
    <w:rsid w:val="000C0D8A"/>
    <w:rsid w:val="000C3FE9"/>
    <w:rsid w:val="000C4AA1"/>
    <w:rsid w:val="000C6716"/>
    <w:rsid w:val="000D0847"/>
    <w:rsid w:val="000D0D57"/>
    <w:rsid w:val="000D3B84"/>
    <w:rsid w:val="000D3E87"/>
    <w:rsid w:val="000D4033"/>
    <w:rsid w:val="000D42CE"/>
    <w:rsid w:val="000D45BD"/>
    <w:rsid w:val="000D46C5"/>
    <w:rsid w:val="000D4DA7"/>
    <w:rsid w:val="000D6350"/>
    <w:rsid w:val="000D637C"/>
    <w:rsid w:val="000D72D7"/>
    <w:rsid w:val="000D7DD4"/>
    <w:rsid w:val="000E0E99"/>
    <w:rsid w:val="000E1729"/>
    <w:rsid w:val="000E2883"/>
    <w:rsid w:val="000E4C05"/>
    <w:rsid w:val="000E6261"/>
    <w:rsid w:val="000E6C8D"/>
    <w:rsid w:val="000F0CD4"/>
    <w:rsid w:val="000F33CB"/>
    <w:rsid w:val="00100402"/>
    <w:rsid w:val="001019F5"/>
    <w:rsid w:val="00102E8F"/>
    <w:rsid w:val="0010356A"/>
    <w:rsid w:val="0010486B"/>
    <w:rsid w:val="00106659"/>
    <w:rsid w:val="00106C09"/>
    <w:rsid w:val="00107449"/>
    <w:rsid w:val="001075AC"/>
    <w:rsid w:val="001113E5"/>
    <w:rsid w:val="001115C4"/>
    <w:rsid w:val="00111EFF"/>
    <w:rsid w:val="001138CD"/>
    <w:rsid w:val="00113AD8"/>
    <w:rsid w:val="00114436"/>
    <w:rsid w:val="001168F1"/>
    <w:rsid w:val="0012025C"/>
    <w:rsid w:val="001223EB"/>
    <w:rsid w:val="001240BC"/>
    <w:rsid w:val="001257A5"/>
    <w:rsid w:val="00126E7B"/>
    <w:rsid w:val="0012729E"/>
    <w:rsid w:val="001278E4"/>
    <w:rsid w:val="001302A8"/>
    <w:rsid w:val="00130FFE"/>
    <w:rsid w:val="001313DC"/>
    <w:rsid w:val="00132208"/>
    <w:rsid w:val="00132467"/>
    <w:rsid w:val="001342BB"/>
    <w:rsid w:val="001344F4"/>
    <w:rsid w:val="0013480D"/>
    <w:rsid w:val="00134EC4"/>
    <w:rsid w:val="00134F5A"/>
    <w:rsid w:val="00135A7E"/>
    <w:rsid w:val="00136768"/>
    <w:rsid w:val="0013764F"/>
    <w:rsid w:val="0014085C"/>
    <w:rsid w:val="0014126F"/>
    <w:rsid w:val="00143A29"/>
    <w:rsid w:val="00143EC8"/>
    <w:rsid w:val="0014411A"/>
    <w:rsid w:val="00144A64"/>
    <w:rsid w:val="0014527F"/>
    <w:rsid w:val="001453A4"/>
    <w:rsid w:val="00145780"/>
    <w:rsid w:val="00146126"/>
    <w:rsid w:val="001463F8"/>
    <w:rsid w:val="001475A1"/>
    <w:rsid w:val="001507DC"/>
    <w:rsid w:val="001530B4"/>
    <w:rsid w:val="00154295"/>
    <w:rsid w:val="00155CF8"/>
    <w:rsid w:val="00156503"/>
    <w:rsid w:val="00156986"/>
    <w:rsid w:val="001606FE"/>
    <w:rsid w:val="00163325"/>
    <w:rsid w:val="001650FF"/>
    <w:rsid w:val="00165231"/>
    <w:rsid w:val="00165811"/>
    <w:rsid w:val="00166A4F"/>
    <w:rsid w:val="00166CAF"/>
    <w:rsid w:val="00170C20"/>
    <w:rsid w:val="001726AB"/>
    <w:rsid w:val="00177A51"/>
    <w:rsid w:val="00182876"/>
    <w:rsid w:val="00182C52"/>
    <w:rsid w:val="00184222"/>
    <w:rsid w:val="00184ECD"/>
    <w:rsid w:val="00186319"/>
    <w:rsid w:val="00186827"/>
    <w:rsid w:val="00186B4A"/>
    <w:rsid w:val="00187C1E"/>
    <w:rsid w:val="00190662"/>
    <w:rsid w:val="00190EE8"/>
    <w:rsid w:val="00192778"/>
    <w:rsid w:val="0019357B"/>
    <w:rsid w:val="00195ED8"/>
    <w:rsid w:val="00196AC6"/>
    <w:rsid w:val="00196E39"/>
    <w:rsid w:val="00196FBB"/>
    <w:rsid w:val="001A30C4"/>
    <w:rsid w:val="001A4732"/>
    <w:rsid w:val="001A5C47"/>
    <w:rsid w:val="001A5ECC"/>
    <w:rsid w:val="001A6434"/>
    <w:rsid w:val="001A75F3"/>
    <w:rsid w:val="001B1187"/>
    <w:rsid w:val="001B2562"/>
    <w:rsid w:val="001B2B3F"/>
    <w:rsid w:val="001B3DEE"/>
    <w:rsid w:val="001B4577"/>
    <w:rsid w:val="001B4CCC"/>
    <w:rsid w:val="001B4D07"/>
    <w:rsid w:val="001B56CF"/>
    <w:rsid w:val="001B686E"/>
    <w:rsid w:val="001C2644"/>
    <w:rsid w:val="001C3270"/>
    <w:rsid w:val="001C348D"/>
    <w:rsid w:val="001C55A1"/>
    <w:rsid w:val="001C7CB5"/>
    <w:rsid w:val="001D5864"/>
    <w:rsid w:val="001D74DF"/>
    <w:rsid w:val="001D7DDD"/>
    <w:rsid w:val="001E28E1"/>
    <w:rsid w:val="001E34F2"/>
    <w:rsid w:val="001E3C12"/>
    <w:rsid w:val="001E4D77"/>
    <w:rsid w:val="001E5000"/>
    <w:rsid w:val="001E6B1B"/>
    <w:rsid w:val="001F1327"/>
    <w:rsid w:val="001F1570"/>
    <w:rsid w:val="001F2036"/>
    <w:rsid w:val="001F38EC"/>
    <w:rsid w:val="001F4275"/>
    <w:rsid w:val="001F4805"/>
    <w:rsid w:val="001F73F3"/>
    <w:rsid w:val="002027A1"/>
    <w:rsid w:val="00202BE9"/>
    <w:rsid w:val="00203437"/>
    <w:rsid w:val="002037BA"/>
    <w:rsid w:val="00204041"/>
    <w:rsid w:val="0020556D"/>
    <w:rsid w:val="00205777"/>
    <w:rsid w:val="00212A5C"/>
    <w:rsid w:val="002139B7"/>
    <w:rsid w:val="002177FA"/>
    <w:rsid w:val="00217ED2"/>
    <w:rsid w:val="00224C49"/>
    <w:rsid w:val="00224E41"/>
    <w:rsid w:val="00224E9D"/>
    <w:rsid w:val="00225308"/>
    <w:rsid w:val="00225A29"/>
    <w:rsid w:val="00225DB2"/>
    <w:rsid w:val="00226076"/>
    <w:rsid w:val="002263FC"/>
    <w:rsid w:val="00226DC5"/>
    <w:rsid w:val="00227D8A"/>
    <w:rsid w:val="0023024A"/>
    <w:rsid w:val="0023478E"/>
    <w:rsid w:val="0023588C"/>
    <w:rsid w:val="00236FE4"/>
    <w:rsid w:val="0023739A"/>
    <w:rsid w:val="00240FC9"/>
    <w:rsid w:val="00241706"/>
    <w:rsid w:val="00244022"/>
    <w:rsid w:val="002455CE"/>
    <w:rsid w:val="00245881"/>
    <w:rsid w:val="0024610F"/>
    <w:rsid w:val="00246416"/>
    <w:rsid w:val="00247595"/>
    <w:rsid w:val="00247925"/>
    <w:rsid w:val="00247B88"/>
    <w:rsid w:val="0025191F"/>
    <w:rsid w:val="0025415B"/>
    <w:rsid w:val="0025503E"/>
    <w:rsid w:val="002555EA"/>
    <w:rsid w:val="00255AE1"/>
    <w:rsid w:val="00256399"/>
    <w:rsid w:val="002576C7"/>
    <w:rsid w:val="0026120E"/>
    <w:rsid w:val="002628C0"/>
    <w:rsid w:val="0026591E"/>
    <w:rsid w:val="0026692E"/>
    <w:rsid w:val="002672C3"/>
    <w:rsid w:val="002718A1"/>
    <w:rsid w:val="002730C8"/>
    <w:rsid w:val="00274066"/>
    <w:rsid w:val="002746B2"/>
    <w:rsid w:val="002748BD"/>
    <w:rsid w:val="00274BDB"/>
    <w:rsid w:val="00275355"/>
    <w:rsid w:val="00275BEF"/>
    <w:rsid w:val="00277401"/>
    <w:rsid w:val="002809A5"/>
    <w:rsid w:val="002820F6"/>
    <w:rsid w:val="00282E7A"/>
    <w:rsid w:val="002839AE"/>
    <w:rsid w:val="002844DE"/>
    <w:rsid w:val="00284D13"/>
    <w:rsid w:val="00285597"/>
    <w:rsid w:val="002857E7"/>
    <w:rsid w:val="002869E1"/>
    <w:rsid w:val="00287991"/>
    <w:rsid w:val="0029013F"/>
    <w:rsid w:val="00290B3C"/>
    <w:rsid w:val="00291455"/>
    <w:rsid w:val="00292DE5"/>
    <w:rsid w:val="002939F3"/>
    <w:rsid w:val="00294DD4"/>
    <w:rsid w:val="0029558A"/>
    <w:rsid w:val="00295E51"/>
    <w:rsid w:val="002973D0"/>
    <w:rsid w:val="00297F11"/>
    <w:rsid w:val="00297F72"/>
    <w:rsid w:val="002A033F"/>
    <w:rsid w:val="002A1743"/>
    <w:rsid w:val="002A19B0"/>
    <w:rsid w:val="002A280C"/>
    <w:rsid w:val="002A4008"/>
    <w:rsid w:val="002A4330"/>
    <w:rsid w:val="002A595D"/>
    <w:rsid w:val="002A617F"/>
    <w:rsid w:val="002A6B12"/>
    <w:rsid w:val="002A74BB"/>
    <w:rsid w:val="002B0F04"/>
    <w:rsid w:val="002B1D44"/>
    <w:rsid w:val="002B2183"/>
    <w:rsid w:val="002B2346"/>
    <w:rsid w:val="002B2B98"/>
    <w:rsid w:val="002B2EC0"/>
    <w:rsid w:val="002B302C"/>
    <w:rsid w:val="002B3AC2"/>
    <w:rsid w:val="002B3F5C"/>
    <w:rsid w:val="002B4828"/>
    <w:rsid w:val="002B4A4C"/>
    <w:rsid w:val="002B51D1"/>
    <w:rsid w:val="002B5225"/>
    <w:rsid w:val="002B570D"/>
    <w:rsid w:val="002B572C"/>
    <w:rsid w:val="002B6835"/>
    <w:rsid w:val="002B68F0"/>
    <w:rsid w:val="002B6DDB"/>
    <w:rsid w:val="002B716F"/>
    <w:rsid w:val="002C1EC9"/>
    <w:rsid w:val="002C52E0"/>
    <w:rsid w:val="002C616A"/>
    <w:rsid w:val="002D36AE"/>
    <w:rsid w:val="002D411E"/>
    <w:rsid w:val="002D483B"/>
    <w:rsid w:val="002D4A8E"/>
    <w:rsid w:val="002D4CDC"/>
    <w:rsid w:val="002D57DE"/>
    <w:rsid w:val="002D6D6F"/>
    <w:rsid w:val="002D709B"/>
    <w:rsid w:val="002D7667"/>
    <w:rsid w:val="002E100B"/>
    <w:rsid w:val="002E12E0"/>
    <w:rsid w:val="002E143B"/>
    <w:rsid w:val="002E1509"/>
    <w:rsid w:val="002E1FD2"/>
    <w:rsid w:val="002E30C7"/>
    <w:rsid w:val="002E46FC"/>
    <w:rsid w:val="002E4E87"/>
    <w:rsid w:val="002E54F0"/>
    <w:rsid w:val="002E70F9"/>
    <w:rsid w:val="002E7B42"/>
    <w:rsid w:val="002F150C"/>
    <w:rsid w:val="002F1874"/>
    <w:rsid w:val="002F2F0C"/>
    <w:rsid w:val="002F2F9C"/>
    <w:rsid w:val="002F396C"/>
    <w:rsid w:val="002F4CC8"/>
    <w:rsid w:val="002F52B6"/>
    <w:rsid w:val="002F70CB"/>
    <w:rsid w:val="003004D4"/>
    <w:rsid w:val="00300F15"/>
    <w:rsid w:val="003014D1"/>
    <w:rsid w:val="00301670"/>
    <w:rsid w:val="00301D2E"/>
    <w:rsid w:val="00302C9B"/>
    <w:rsid w:val="00303B76"/>
    <w:rsid w:val="0030444B"/>
    <w:rsid w:val="003053D7"/>
    <w:rsid w:val="00305EFA"/>
    <w:rsid w:val="00306309"/>
    <w:rsid w:val="003066C3"/>
    <w:rsid w:val="00306C19"/>
    <w:rsid w:val="00306C4E"/>
    <w:rsid w:val="00306DF6"/>
    <w:rsid w:val="003079E0"/>
    <w:rsid w:val="00313499"/>
    <w:rsid w:val="00313969"/>
    <w:rsid w:val="00313D9F"/>
    <w:rsid w:val="00315EC5"/>
    <w:rsid w:val="00317B4A"/>
    <w:rsid w:val="00317DA7"/>
    <w:rsid w:val="00320609"/>
    <w:rsid w:val="00320CF0"/>
    <w:rsid w:val="00321F04"/>
    <w:rsid w:val="003227C6"/>
    <w:rsid w:val="003237EB"/>
    <w:rsid w:val="00324A5B"/>
    <w:rsid w:val="00326EE8"/>
    <w:rsid w:val="0032720B"/>
    <w:rsid w:val="00327912"/>
    <w:rsid w:val="00327A63"/>
    <w:rsid w:val="00331916"/>
    <w:rsid w:val="0033224E"/>
    <w:rsid w:val="003326EA"/>
    <w:rsid w:val="003344C1"/>
    <w:rsid w:val="003363D7"/>
    <w:rsid w:val="00336550"/>
    <w:rsid w:val="00337603"/>
    <w:rsid w:val="00337A35"/>
    <w:rsid w:val="0034021A"/>
    <w:rsid w:val="00340552"/>
    <w:rsid w:val="003409A4"/>
    <w:rsid w:val="00341271"/>
    <w:rsid w:val="00341AFB"/>
    <w:rsid w:val="00341CF4"/>
    <w:rsid w:val="00342DC4"/>
    <w:rsid w:val="00347EA3"/>
    <w:rsid w:val="003510B0"/>
    <w:rsid w:val="00351143"/>
    <w:rsid w:val="00351477"/>
    <w:rsid w:val="00351CAF"/>
    <w:rsid w:val="003521DB"/>
    <w:rsid w:val="0035313D"/>
    <w:rsid w:val="0035606B"/>
    <w:rsid w:val="0035656D"/>
    <w:rsid w:val="003571B2"/>
    <w:rsid w:val="003573E1"/>
    <w:rsid w:val="00361B41"/>
    <w:rsid w:val="00361E0B"/>
    <w:rsid w:val="00362096"/>
    <w:rsid w:val="003629FD"/>
    <w:rsid w:val="00363563"/>
    <w:rsid w:val="0036472C"/>
    <w:rsid w:val="00364A29"/>
    <w:rsid w:val="00365897"/>
    <w:rsid w:val="0037214D"/>
    <w:rsid w:val="00373379"/>
    <w:rsid w:val="00377310"/>
    <w:rsid w:val="00381622"/>
    <w:rsid w:val="00381F77"/>
    <w:rsid w:val="0038257D"/>
    <w:rsid w:val="003828B4"/>
    <w:rsid w:val="00383DA2"/>
    <w:rsid w:val="003846EB"/>
    <w:rsid w:val="003849F0"/>
    <w:rsid w:val="003859A6"/>
    <w:rsid w:val="0038723F"/>
    <w:rsid w:val="00387E09"/>
    <w:rsid w:val="00390638"/>
    <w:rsid w:val="003916E9"/>
    <w:rsid w:val="00391E48"/>
    <w:rsid w:val="00392492"/>
    <w:rsid w:val="00392929"/>
    <w:rsid w:val="003943B1"/>
    <w:rsid w:val="003955A2"/>
    <w:rsid w:val="003A0145"/>
    <w:rsid w:val="003A066E"/>
    <w:rsid w:val="003A09E2"/>
    <w:rsid w:val="003A19EC"/>
    <w:rsid w:val="003A2E8F"/>
    <w:rsid w:val="003A37C9"/>
    <w:rsid w:val="003A4459"/>
    <w:rsid w:val="003A4B8D"/>
    <w:rsid w:val="003A6436"/>
    <w:rsid w:val="003A6E5B"/>
    <w:rsid w:val="003A797A"/>
    <w:rsid w:val="003A7CC8"/>
    <w:rsid w:val="003B0231"/>
    <w:rsid w:val="003B06F7"/>
    <w:rsid w:val="003B0EC7"/>
    <w:rsid w:val="003B131A"/>
    <w:rsid w:val="003B3614"/>
    <w:rsid w:val="003B3837"/>
    <w:rsid w:val="003B3BD8"/>
    <w:rsid w:val="003B4FE7"/>
    <w:rsid w:val="003B72E1"/>
    <w:rsid w:val="003B7AD7"/>
    <w:rsid w:val="003C06E6"/>
    <w:rsid w:val="003C1C4C"/>
    <w:rsid w:val="003C20C0"/>
    <w:rsid w:val="003C553B"/>
    <w:rsid w:val="003C56B4"/>
    <w:rsid w:val="003C65CC"/>
    <w:rsid w:val="003C6D12"/>
    <w:rsid w:val="003C7F4C"/>
    <w:rsid w:val="003D108A"/>
    <w:rsid w:val="003D1868"/>
    <w:rsid w:val="003D2046"/>
    <w:rsid w:val="003D2E82"/>
    <w:rsid w:val="003D5CAF"/>
    <w:rsid w:val="003D7924"/>
    <w:rsid w:val="003E116F"/>
    <w:rsid w:val="003E158E"/>
    <w:rsid w:val="003E1640"/>
    <w:rsid w:val="003E4996"/>
    <w:rsid w:val="003E4B3D"/>
    <w:rsid w:val="003E6475"/>
    <w:rsid w:val="003E7446"/>
    <w:rsid w:val="003E7E55"/>
    <w:rsid w:val="003F033A"/>
    <w:rsid w:val="003F2A35"/>
    <w:rsid w:val="003F4A4B"/>
    <w:rsid w:val="003F5164"/>
    <w:rsid w:val="003F7BBE"/>
    <w:rsid w:val="00400BFF"/>
    <w:rsid w:val="0040233D"/>
    <w:rsid w:val="004028B8"/>
    <w:rsid w:val="00404174"/>
    <w:rsid w:val="004058DD"/>
    <w:rsid w:val="00407B33"/>
    <w:rsid w:val="00410D97"/>
    <w:rsid w:val="00413147"/>
    <w:rsid w:val="0041429B"/>
    <w:rsid w:val="00414A6E"/>
    <w:rsid w:val="004153E7"/>
    <w:rsid w:val="004157BD"/>
    <w:rsid w:val="00416ED3"/>
    <w:rsid w:val="00417E02"/>
    <w:rsid w:val="0042057E"/>
    <w:rsid w:val="004221DB"/>
    <w:rsid w:val="0042613A"/>
    <w:rsid w:val="00426C99"/>
    <w:rsid w:val="00430299"/>
    <w:rsid w:val="004308EF"/>
    <w:rsid w:val="00434ED2"/>
    <w:rsid w:val="00435C60"/>
    <w:rsid w:val="00436DC1"/>
    <w:rsid w:val="0043746D"/>
    <w:rsid w:val="00437929"/>
    <w:rsid w:val="00440B53"/>
    <w:rsid w:val="004412B2"/>
    <w:rsid w:val="004421D0"/>
    <w:rsid w:val="0044222A"/>
    <w:rsid w:val="0044471C"/>
    <w:rsid w:val="00444FC9"/>
    <w:rsid w:val="004461A5"/>
    <w:rsid w:val="004468D6"/>
    <w:rsid w:val="00446F0D"/>
    <w:rsid w:val="004507D6"/>
    <w:rsid w:val="00451BF7"/>
    <w:rsid w:val="00451C81"/>
    <w:rsid w:val="004530E8"/>
    <w:rsid w:val="00453AEA"/>
    <w:rsid w:val="00454E16"/>
    <w:rsid w:val="004552C0"/>
    <w:rsid w:val="00456E49"/>
    <w:rsid w:val="00457051"/>
    <w:rsid w:val="004639D5"/>
    <w:rsid w:val="0046416D"/>
    <w:rsid w:val="004648F4"/>
    <w:rsid w:val="004675E3"/>
    <w:rsid w:val="00472162"/>
    <w:rsid w:val="00472A48"/>
    <w:rsid w:val="00472DF8"/>
    <w:rsid w:val="00474039"/>
    <w:rsid w:val="00474B62"/>
    <w:rsid w:val="004768F0"/>
    <w:rsid w:val="00476CFA"/>
    <w:rsid w:val="00480A2A"/>
    <w:rsid w:val="00480ACE"/>
    <w:rsid w:val="00480C30"/>
    <w:rsid w:val="0048271F"/>
    <w:rsid w:val="00483222"/>
    <w:rsid w:val="00484D33"/>
    <w:rsid w:val="00485636"/>
    <w:rsid w:val="00490F94"/>
    <w:rsid w:val="004918C9"/>
    <w:rsid w:val="00491AB3"/>
    <w:rsid w:val="00492A38"/>
    <w:rsid w:val="00496664"/>
    <w:rsid w:val="00496828"/>
    <w:rsid w:val="004975F3"/>
    <w:rsid w:val="00497842"/>
    <w:rsid w:val="004A0059"/>
    <w:rsid w:val="004A2050"/>
    <w:rsid w:val="004A27AC"/>
    <w:rsid w:val="004A3B3B"/>
    <w:rsid w:val="004A3CDA"/>
    <w:rsid w:val="004A6A36"/>
    <w:rsid w:val="004A7827"/>
    <w:rsid w:val="004B1150"/>
    <w:rsid w:val="004B205A"/>
    <w:rsid w:val="004B3B38"/>
    <w:rsid w:val="004B4BD2"/>
    <w:rsid w:val="004B6126"/>
    <w:rsid w:val="004B67E8"/>
    <w:rsid w:val="004B686A"/>
    <w:rsid w:val="004B7BAC"/>
    <w:rsid w:val="004C0264"/>
    <w:rsid w:val="004C283F"/>
    <w:rsid w:val="004C33A4"/>
    <w:rsid w:val="004C423C"/>
    <w:rsid w:val="004C574C"/>
    <w:rsid w:val="004C5B39"/>
    <w:rsid w:val="004C5B42"/>
    <w:rsid w:val="004C6B22"/>
    <w:rsid w:val="004C74B6"/>
    <w:rsid w:val="004D0873"/>
    <w:rsid w:val="004D2CFA"/>
    <w:rsid w:val="004D3F3D"/>
    <w:rsid w:val="004D4924"/>
    <w:rsid w:val="004D55D1"/>
    <w:rsid w:val="004D5DF4"/>
    <w:rsid w:val="004D68DD"/>
    <w:rsid w:val="004D7167"/>
    <w:rsid w:val="004E0188"/>
    <w:rsid w:val="004E0A37"/>
    <w:rsid w:val="004E0E12"/>
    <w:rsid w:val="004E17BE"/>
    <w:rsid w:val="004E4963"/>
    <w:rsid w:val="004E694F"/>
    <w:rsid w:val="004F0D0C"/>
    <w:rsid w:val="004F18CF"/>
    <w:rsid w:val="004F2432"/>
    <w:rsid w:val="004F24B1"/>
    <w:rsid w:val="004F29D5"/>
    <w:rsid w:val="004F5700"/>
    <w:rsid w:val="004F7095"/>
    <w:rsid w:val="004F756A"/>
    <w:rsid w:val="00500ED0"/>
    <w:rsid w:val="005018F3"/>
    <w:rsid w:val="00501D8A"/>
    <w:rsid w:val="00501D92"/>
    <w:rsid w:val="0050284A"/>
    <w:rsid w:val="00503066"/>
    <w:rsid w:val="00504C93"/>
    <w:rsid w:val="00504F3B"/>
    <w:rsid w:val="00505581"/>
    <w:rsid w:val="00506C1B"/>
    <w:rsid w:val="0050792D"/>
    <w:rsid w:val="005104BF"/>
    <w:rsid w:val="00511E35"/>
    <w:rsid w:val="005133E9"/>
    <w:rsid w:val="00514DC6"/>
    <w:rsid w:val="00515242"/>
    <w:rsid w:val="00515D4D"/>
    <w:rsid w:val="0051684F"/>
    <w:rsid w:val="005202AE"/>
    <w:rsid w:val="0052096D"/>
    <w:rsid w:val="005214D7"/>
    <w:rsid w:val="00521F37"/>
    <w:rsid w:val="00522A39"/>
    <w:rsid w:val="0052488B"/>
    <w:rsid w:val="005254C0"/>
    <w:rsid w:val="005261DB"/>
    <w:rsid w:val="00527ADB"/>
    <w:rsid w:val="00530503"/>
    <w:rsid w:val="005316C6"/>
    <w:rsid w:val="0053240D"/>
    <w:rsid w:val="00533951"/>
    <w:rsid w:val="00534F40"/>
    <w:rsid w:val="00535C70"/>
    <w:rsid w:val="005360A3"/>
    <w:rsid w:val="0054118A"/>
    <w:rsid w:val="00543E25"/>
    <w:rsid w:val="00544294"/>
    <w:rsid w:val="00546856"/>
    <w:rsid w:val="00550DA8"/>
    <w:rsid w:val="00551012"/>
    <w:rsid w:val="00553E2F"/>
    <w:rsid w:val="0055646C"/>
    <w:rsid w:val="005608D6"/>
    <w:rsid w:val="005610F2"/>
    <w:rsid w:val="00562500"/>
    <w:rsid w:val="00563379"/>
    <w:rsid w:val="005633D3"/>
    <w:rsid w:val="00565941"/>
    <w:rsid w:val="005662ED"/>
    <w:rsid w:val="00566353"/>
    <w:rsid w:val="00566EC0"/>
    <w:rsid w:val="0056713F"/>
    <w:rsid w:val="00567843"/>
    <w:rsid w:val="005768D6"/>
    <w:rsid w:val="00576E74"/>
    <w:rsid w:val="00580D6D"/>
    <w:rsid w:val="005811B5"/>
    <w:rsid w:val="00582C84"/>
    <w:rsid w:val="00584569"/>
    <w:rsid w:val="00584581"/>
    <w:rsid w:val="0058473E"/>
    <w:rsid w:val="00585BD9"/>
    <w:rsid w:val="00586FFA"/>
    <w:rsid w:val="00591FFD"/>
    <w:rsid w:val="0059311D"/>
    <w:rsid w:val="00595454"/>
    <w:rsid w:val="00595AAF"/>
    <w:rsid w:val="00595FAE"/>
    <w:rsid w:val="00596371"/>
    <w:rsid w:val="00596416"/>
    <w:rsid w:val="0059645D"/>
    <w:rsid w:val="00596D30"/>
    <w:rsid w:val="00596E4D"/>
    <w:rsid w:val="00597827"/>
    <w:rsid w:val="00597E55"/>
    <w:rsid w:val="005A156A"/>
    <w:rsid w:val="005A3115"/>
    <w:rsid w:val="005A3DF7"/>
    <w:rsid w:val="005A4253"/>
    <w:rsid w:val="005A44F8"/>
    <w:rsid w:val="005A4E55"/>
    <w:rsid w:val="005A5D06"/>
    <w:rsid w:val="005A64F7"/>
    <w:rsid w:val="005A7122"/>
    <w:rsid w:val="005A7625"/>
    <w:rsid w:val="005A7D24"/>
    <w:rsid w:val="005B3D33"/>
    <w:rsid w:val="005B41D9"/>
    <w:rsid w:val="005B5817"/>
    <w:rsid w:val="005B5B26"/>
    <w:rsid w:val="005B5B5B"/>
    <w:rsid w:val="005B5C9D"/>
    <w:rsid w:val="005B6387"/>
    <w:rsid w:val="005B76DF"/>
    <w:rsid w:val="005B7788"/>
    <w:rsid w:val="005C321D"/>
    <w:rsid w:val="005C36EB"/>
    <w:rsid w:val="005C3D4B"/>
    <w:rsid w:val="005C40CE"/>
    <w:rsid w:val="005C6655"/>
    <w:rsid w:val="005C6FB3"/>
    <w:rsid w:val="005C7A11"/>
    <w:rsid w:val="005C7BA9"/>
    <w:rsid w:val="005C7BD2"/>
    <w:rsid w:val="005C7FA7"/>
    <w:rsid w:val="005D01C5"/>
    <w:rsid w:val="005D179B"/>
    <w:rsid w:val="005D18FD"/>
    <w:rsid w:val="005D2D75"/>
    <w:rsid w:val="005D2F97"/>
    <w:rsid w:val="005D36A7"/>
    <w:rsid w:val="005D3A7A"/>
    <w:rsid w:val="005D59AB"/>
    <w:rsid w:val="005D6D16"/>
    <w:rsid w:val="005D70F7"/>
    <w:rsid w:val="005E07C5"/>
    <w:rsid w:val="005E0C23"/>
    <w:rsid w:val="005E142A"/>
    <w:rsid w:val="005E410E"/>
    <w:rsid w:val="005E488A"/>
    <w:rsid w:val="005E4E3F"/>
    <w:rsid w:val="005E5F34"/>
    <w:rsid w:val="005E625E"/>
    <w:rsid w:val="005E6553"/>
    <w:rsid w:val="005E72BF"/>
    <w:rsid w:val="005F063A"/>
    <w:rsid w:val="005F1A57"/>
    <w:rsid w:val="005F3D44"/>
    <w:rsid w:val="005F48B7"/>
    <w:rsid w:val="005F5011"/>
    <w:rsid w:val="005F7746"/>
    <w:rsid w:val="005F7A41"/>
    <w:rsid w:val="006007DB"/>
    <w:rsid w:val="00600C0A"/>
    <w:rsid w:val="00600E2A"/>
    <w:rsid w:val="006031D5"/>
    <w:rsid w:val="006039F5"/>
    <w:rsid w:val="006042BC"/>
    <w:rsid w:val="00606564"/>
    <w:rsid w:val="00610321"/>
    <w:rsid w:val="00610FEA"/>
    <w:rsid w:val="00611393"/>
    <w:rsid w:val="00611B5F"/>
    <w:rsid w:val="00612545"/>
    <w:rsid w:val="00612951"/>
    <w:rsid w:val="00614F06"/>
    <w:rsid w:val="006163E5"/>
    <w:rsid w:val="006166F7"/>
    <w:rsid w:val="00616C03"/>
    <w:rsid w:val="006172F6"/>
    <w:rsid w:val="00617C31"/>
    <w:rsid w:val="006201C5"/>
    <w:rsid w:val="00620A67"/>
    <w:rsid w:val="00621653"/>
    <w:rsid w:val="006218D5"/>
    <w:rsid w:val="00621A3C"/>
    <w:rsid w:val="00621D8B"/>
    <w:rsid w:val="006230CE"/>
    <w:rsid w:val="00623678"/>
    <w:rsid w:val="00625BD4"/>
    <w:rsid w:val="00626736"/>
    <w:rsid w:val="0062703A"/>
    <w:rsid w:val="00630CAC"/>
    <w:rsid w:val="00632121"/>
    <w:rsid w:val="0063319A"/>
    <w:rsid w:val="0063408C"/>
    <w:rsid w:val="00635C8D"/>
    <w:rsid w:val="00642852"/>
    <w:rsid w:val="0064433D"/>
    <w:rsid w:val="0064452C"/>
    <w:rsid w:val="0064532D"/>
    <w:rsid w:val="00647ADC"/>
    <w:rsid w:val="00651937"/>
    <w:rsid w:val="00651D47"/>
    <w:rsid w:val="0065366C"/>
    <w:rsid w:val="00654D39"/>
    <w:rsid w:val="00655562"/>
    <w:rsid w:val="00655F30"/>
    <w:rsid w:val="00656433"/>
    <w:rsid w:val="00656946"/>
    <w:rsid w:val="00656EC2"/>
    <w:rsid w:val="006576FC"/>
    <w:rsid w:val="006613E8"/>
    <w:rsid w:val="0066294E"/>
    <w:rsid w:val="00663161"/>
    <w:rsid w:val="00663212"/>
    <w:rsid w:val="00663C32"/>
    <w:rsid w:val="00664D73"/>
    <w:rsid w:val="00665C3E"/>
    <w:rsid w:val="00666429"/>
    <w:rsid w:val="00667575"/>
    <w:rsid w:val="006717ED"/>
    <w:rsid w:val="00671972"/>
    <w:rsid w:val="00673A8A"/>
    <w:rsid w:val="006740ED"/>
    <w:rsid w:val="0067539F"/>
    <w:rsid w:val="00675A0A"/>
    <w:rsid w:val="00675FBE"/>
    <w:rsid w:val="00676074"/>
    <w:rsid w:val="006802CF"/>
    <w:rsid w:val="0068066D"/>
    <w:rsid w:val="006810BD"/>
    <w:rsid w:val="006816AF"/>
    <w:rsid w:val="006835B1"/>
    <w:rsid w:val="006837DD"/>
    <w:rsid w:val="00691E03"/>
    <w:rsid w:val="00692E47"/>
    <w:rsid w:val="00693E4B"/>
    <w:rsid w:val="006943BB"/>
    <w:rsid w:val="00694BDD"/>
    <w:rsid w:val="006950B2"/>
    <w:rsid w:val="006953F9"/>
    <w:rsid w:val="00695920"/>
    <w:rsid w:val="00695D49"/>
    <w:rsid w:val="00697DD8"/>
    <w:rsid w:val="006A083A"/>
    <w:rsid w:val="006A13AA"/>
    <w:rsid w:val="006A2574"/>
    <w:rsid w:val="006A348C"/>
    <w:rsid w:val="006A3570"/>
    <w:rsid w:val="006A3937"/>
    <w:rsid w:val="006A3AE4"/>
    <w:rsid w:val="006A411B"/>
    <w:rsid w:val="006A458E"/>
    <w:rsid w:val="006A4991"/>
    <w:rsid w:val="006A5255"/>
    <w:rsid w:val="006A60EB"/>
    <w:rsid w:val="006A635B"/>
    <w:rsid w:val="006A7E6A"/>
    <w:rsid w:val="006B15BB"/>
    <w:rsid w:val="006B1EE8"/>
    <w:rsid w:val="006B2254"/>
    <w:rsid w:val="006B3498"/>
    <w:rsid w:val="006B361A"/>
    <w:rsid w:val="006B3CA4"/>
    <w:rsid w:val="006B40A8"/>
    <w:rsid w:val="006B41BF"/>
    <w:rsid w:val="006B4C1E"/>
    <w:rsid w:val="006B4D70"/>
    <w:rsid w:val="006B61E3"/>
    <w:rsid w:val="006B7751"/>
    <w:rsid w:val="006B78DC"/>
    <w:rsid w:val="006B7E0E"/>
    <w:rsid w:val="006C06F2"/>
    <w:rsid w:val="006C0E66"/>
    <w:rsid w:val="006C1E53"/>
    <w:rsid w:val="006C1E7A"/>
    <w:rsid w:val="006C21C7"/>
    <w:rsid w:val="006C2C15"/>
    <w:rsid w:val="006C2C49"/>
    <w:rsid w:val="006C2C6F"/>
    <w:rsid w:val="006C59BA"/>
    <w:rsid w:val="006C5DF1"/>
    <w:rsid w:val="006C60B4"/>
    <w:rsid w:val="006C75FC"/>
    <w:rsid w:val="006C7B03"/>
    <w:rsid w:val="006D07B5"/>
    <w:rsid w:val="006D08F3"/>
    <w:rsid w:val="006D1D88"/>
    <w:rsid w:val="006D2A8A"/>
    <w:rsid w:val="006D52F7"/>
    <w:rsid w:val="006D5488"/>
    <w:rsid w:val="006D54C6"/>
    <w:rsid w:val="006D6399"/>
    <w:rsid w:val="006D6817"/>
    <w:rsid w:val="006D6DAD"/>
    <w:rsid w:val="006D70A8"/>
    <w:rsid w:val="006E00DE"/>
    <w:rsid w:val="006E3105"/>
    <w:rsid w:val="006E3989"/>
    <w:rsid w:val="006E5452"/>
    <w:rsid w:val="006E5533"/>
    <w:rsid w:val="006E6EC5"/>
    <w:rsid w:val="006F05EA"/>
    <w:rsid w:val="006F1F2E"/>
    <w:rsid w:val="006F207A"/>
    <w:rsid w:val="006F3CA1"/>
    <w:rsid w:val="006F40A6"/>
    <w:rsid w:val="006F40E6"/>
    <w:rsid w:val="006F4729"/>
    <w:rsid w:val="006F4D3B"/>
    <w:rsid w:val="006F5059"/>
    <w:rsid w:val="006F628E"/>
    <w:rsid w:val="006F67B2"/>
    <w:rsid w:val="006F67BD"/>
    <w:rsid w:val="006F70F7"/>
    <w:rsid w:val="007038A8"/>
    <w:rsid w:val="0070409D"/>
    <w:rsid w:val="007055AF"/>
    <w:rsid w:val="00706376"/>
    <w:rsid w:val="0070772E"/>
    <w:rsid w:val="00707DC6"/>
    <w:rsid w:val="007108CA"/>
    <w:rsid w:val="00710CD7"/>
    <w:rsid w:val="007120FC"/>
    <w:rsid w:val="0071350D"/>
    <w:rsid w:val="00715433"/>
    <w:rsid w:val="0071594E"/>
    <w:rsid w:val="00716079"/>
    <w:rsid w:val="00716AC9"/>
    <w:rsid w:val="00716E60"/>
    <w:rsid w:val="007177E2"/>
    <w:rsid w:val="0071780F"/>
    <w:rsid w:val="00717C9C"/>
    <w:rsid w:val="00721B98"/>
    <w:rsid w:val="00721D7E"/>
    <w:rsid w:val="00723C1F"/>
    <w:rsid w:val="00724120"/>
    <w:rsid w:val="007250F0"/>
    <w:rsid w:val="0072777C"/>
    <w:rsid w:val="00730C7E"/>
    <w:rsid w:val="0073268B"/>
    <w:rsid w:val="00733437"/>
    <w:rsid w:val="00734602"/>
    <w:rsid w:val="00734CE2"/>
    <w:rsid w:val="007352F6"/>
    <w:rsid w:val="00735EDF"/>
    <w:rsid w:val="00736A81"/>
    <w:rsid w:val="00736EB9"/>
    <w:rsid w:val="00737692"/>
    <w:rsid w:val="00740C48"/>
    <w:rsid w:val="00742006"/>
    <w:rsid w:val="00750231"/>
    <w:rsid w:val="00750D87"/>
    <w:rsid w:val="00752552"/>
    <w:rsid w:val="00752849"/>
    <w:rsid w:val="007530E6"/>
    <w:rsid w:val="007532E2"/>
    <w:rsid w:val="00753C97"/>
    <w:rsid w:val="0075642B"/>
    <w:rsid w:val="00756C7A"/>
    <w:rsid w:val="00757B91"/>
    <w:rsid w:val="007616A7"/>
    <w:rsid w:val="007634F8"/>
    <w:rsid w:val="007640C3"/>
    <w:rsid w:val="007650A1"/>
    <w:rsid w:val="00766181"/>
    <w:rsid w:val="00766D92"/>
    <w:rsid w:val="00767118"/>
    <w:rsid w:val="007673D9"/>
    <w:rsid w:val="00767502"/>
    <w:rsid w:val="007701BF"/>
    <w:rsid w:val="0077077C"/>
    <w:rsid w:val="00770F6A"/>
    <w:rsid w:val="0077135D"/>
    <w:rsid w:val="007716DA"/>
    <w:rsid w:val="00771787"/>
    <w:rsid w:val="0077196D"/>
    <w:rsid w:val="00771F5E"/>
    <w:rsid w:val="00772DC1"/>
    <w:rsid w:val="007739A2"/>
    <w:rsid w:val="00774103"/>
    <w:rsid w:val="00774CA7"/>
    <w:rsid w:val="0077534E"/>
    <w:rsid w:val="00775575"/>
    <w:rsid w:val="00776BA9"/>
    <w:rsid w:val="007802C4"/>
    <w:rsid w:val="0078089F"/>
    <w:rsid w:val="00782847"/>
    <w:rsid w:val="00783211"/>
    <w:rsid w:val="007855FA"/>
    <w:rsid w:val="00786248"/>
    <w:rsid w:val="007862CB"/>
    <w:rsid w:val="00787E34"/>
    <w:rsid w:val="0079158E"/>
    <w:rsid w:val="00791F2C"/>
    <w:rsid w:val="007934D5"/>
    <w:rsid w:val="00793D6A"/>
    <w:rsid w:val="00794977"/>
    <w:rsid w:val="00796286"/>
    <w:rsid w:val="0079691A"/>
    <w:rsid w:val="007A0E20"/>
    <w:rsid w:val="007A3DBD"/>
    <w:rsid w:val="007A530F"/>
    <w:rsid w:val="007A5E31"/>
    <w:rsid w:val="007A6F04"/>
    <w:rsid w:val="007A7EA6"/>
    <w:rsid w:val="007B02B8"/>
    <w:rsid w:val="007B1777"/>
    <w:rsid w:val="007B2D14"/>
    <w:rsid w:val="007B35C8"/>
    <w:rsid w:val="007B4014"/>
    <w:rsid w:val="007B473D"/>
    <w:rsid w:val="007B4DBD"/>
    <w:rsid w:val="007B4F2F"/>
    <w:rsid w:val="007B6493"/>
    <w:rsid w:val="007B6C5F"/>
    <w:rsid w:val="007B7065"/>
    <w:rsid w:val="007B770B"/>
    <w:rsid w:val="007C3838"/>
    <w:rsid w:val="007C3B6F"/>
    <w:rsid w:val="007C41A7"/>
    <w:rsid w:val="007C55E9"/>
    <w:rsid w:val="007C5B8B"/>
    <w:rsid w:val="007C682F"/>
    <w:rsid w:val="007C7D22"/>
    <w:rsid w:val="007D48D1"/>
    <w:rsid w:val="007D71A8"/>
    <w:rsid w:val="007D7480"/>
    <w:rsid w:val="007E407F"/>
    <w:rsid w:val="007E52B4"/>
    <w:rsid w:val="007E63F5"/>
    <w:rsid w:val="007E7701"/>
    <w:rsid w:val="007E79D3"/>
    <w:rsid w:val="007F0FE9"/>
    <w:rsid w:val="007F1206"/>
    <w:rsid w:val="007F29EE"/>
    <w:rsid w:val="007F30C7"/>
    <w:rsid w:val="007F3270"/>
    <w:rsid w:val="007F3565"/>
    <w:rsid w:val="007F5397"/>
    <w:rsid w:val="007F6711"/>
    <w:rsid w:val="007F69AD"/>
    <w:rsid w:val="007F74BA"/>
    <w:rsid w:val="00800586"/>
    <w:rsid w:val="00801936"/>
    <w:rsid w:val="00801B83"/>
    <w:rsid w:val="00801D14"/>
    <w:rsid w:val="008023CE"/>
    <w:rsid w:val="00802BBF"/>
    <w:rsid w:val="00804083"/>
    <w:rsid w:val="00805F5C"/>
    <w:rsid w:val="00806298"/>
    <w:rsid w:val="00810164"/>
    <w:rsid w:val="00811A3E"/>
    <w:rsid w:val="00814A77"/>
    <w:rsid w:val="00814BAF"/>
    <w:rsid w:val="008159F5"/>
    <w:rsid w:val="00816A25"/>
    <w:rsid w:val="00816E2D"/>
    <w:rsid w:val="00817797"/>
    <w:rsid w:val="00821FAC"/>
    <w:rsid w:val="00822526"/>
    <w:rsid w:val="00822F7C"/>
    <w:rsid w:val="00823819"/>
    <w:rsid w:val="00824564"/>
    <w:rsid w:val="008252A4"/>
    <w:rsid w:val="00827940"/>
    <w:rsid w:val="00830EBF"/>
    <w:rsid w:val="0083101A"/>
    <w:rsid w:val="0083117C"/>
    <w:rsid w:val="008378A0"/>
    <w:rsid w:val="008422F7"/>
    <w:rsid w:val="00842472"/>
    <w:rsid w:val="0084262B"/>
    <w:rsid w:val="00842FB4"/>
    <w:rsid w:val="008437BB"/>
    <w:rsid w:val="008437BD"/>
    <w:rsid w:val="008447F6"/>
    <w:rsid w:val="00845D4F"/>
    <w:rsid w:val="00846C2C"/>
    <w:rsid w:val="008472A4"/>
    <w:rsid w:val="00847612"/>
    <w:rsid w:val="00850966"/>
    <w:rsid w:val="00850D09"/>
    <w:rsid w:val="008534F0"/>
    <w:rsid w:val="00856AF6"/>
    <w:rsid w:val="00857261"/>
    <w:rsid w:val="00862FBB"/>
    <w:rsid w:val="00863235"/>
    <w:rsid w:val="00864F1B"/>
    <w:rsid w:val="00865471"/>
    <w:rsid w:val="008665D4"/>
    <w:rsid w:val="00867082"/>
    <w:rsid w:val="00867CAA"/>
    <w:rsid w:val="00871559"/>
    <w:rsid w:val="00871F49"/>
    <w:rsid w:val="00872099"/>
    <w:rsid w:val="008726E1"/>
    <w:rsid w:val="00872A5F"/>
    <w:rsid w:val="008732EF"/>
    <w:rsid w:val="00873CA0"/>
    <w:rsid w:val="0087458A"/>
    <w:rsid w:val="0087466E"/>
    <w:rsid w:val="00874B04"/>
    <w:rsid w:val="00874FF7"/>
    <w:rsid w:val="00875075"/>
    <w:rsid w:val="0087558B"/>
    <w:rsid w:val="00876A87"/>
    <w:rsid w:val="00877EA6"/>
    <w:rsid w:val="008804CD"/>
    <w:rsid w:val="00881AB5"/>
    <w:rsid w:val="0088238F"/>
    <w:rsid w:val="00882AA4"/>
    <w:rsid w:val="00882D2D"/>
    <w:rsid w:val="00885227"/>
    <w:rsid w:val="0088587E"/>
    <w:rsid w:val="00886639"/>
    <w:rsid w:val="00891667"/>
    <w:rsid w:val="00892549"/>
    <w:rsid w:val="008932D9"/>
    <w:rsid w:val="00894E46"/>
    <w:rsid w:val="008955F5"/>
    <w:rsid w:val="00895DCD"/>
    <w:rsid w:val="008963C9"/>
    <w:rsid w:val="0089643B"/>
    <w:rsid w:val="00896580"/>
    <w:rsid w:val="00897C70"/>
    <w:rsid w:val="008A0C4E"/>
    <w:rsid w:val="008A1D8F"/>
    <w:rsid w:val="008A2055"/>
    <w:rsid w:val="008A2807"/>
    <w:rsid w:val="008A33DA"/>
    <w:rsid w:val="008A4B7C"/>
    <w:rsid w:val="008A4CF0"/>
    <w:rsid w:val="008A4F1A"/>
    <w:rsid w:val="008A5672"/>
    <w:rsid w:val="008A607A"/>
    <w:rsid w:val="008A64FC"/>
    <w:rsid w:val="008A7731"/>
    <w:rsid w:val="008A7775"/>
    <w:rsid w:val="008B165E"/>
    <w:rsid w:val="008B38A7"/>
    <w:rsid w:val="008B3D3C"/>
    <w:rsid w:val="008B4227"/>
    <w:rsid w:val="008B4537"/>
    <w:rsid w:val="008B4CBA"/>
    <w:rsid w:val="008B7155"/>
    <w:rsid w:val="008B7D2B"/>
    <w:rsid w:val="008C0182"/>
    <w:rsid w:val="008C0285"/>
    <w:rsid w:val="008C38B3"/>
    <w:rsid w:val="008C4865"/>
    <w:rsid w:val="008C6ACC"/>
    <w:rsid w:val="008C7262"/>
    <w:rsid w:val="008C726D"/>
    <w:rsid w:val="008C7849"/>
    <w:rsid w:val="008D49AF"/>
    <w:rsid w:val="008D7D2A"/>
    <w:rsid w:val="008E03D1"/>
    <w:rsid w:val="008E2708"/>
    <w:rsid w:val="008E27F5"/>
    <w:rsid w:val="008E661E"/>
    <w:rsid w:val="008E68A1"/>
    <w:rsid w:val="008E7DF2"/>
    <w:rsid w:val="008F0702"/>
    <w:rsid w:val="008F145E"/>
    <w:rsid w:val="008F266E"/>
    <w:rsid w:val="008F2898"/>
    <w:rsid w:val="008F2D82"/>
    <w:rsid w:val="008F32C6"/>
    <w:rsid w:val="008F4F6A"/>
    <w:rsid w:val="008F5B33"/>
    <w:rsid w:val="008F6B98"/>
    <w:rsid w:val="008F7A4A"/>
    <w:rsid w:val="009001C3"/>
    <w:rsid w:val="0090091C"/>
    <w:rsid w:val="0090171A"/>
    <w:rsid w:val="0090182F"/>
    <w:rsid w:val="0090203C"/>
    <w:rsid w:val="0090279B"/>
    <w:rsid w:val="00902EAA"/>
    <w:rsid w:val="0090357E"/>
    <w:rsid w:val="00903C85"/>
    <w:rsid w:val="00905842"/>
    <w:rsid w:val="0090632E"/>
    <w:rsid w:val="00906988"/>
    <w:rsid w:val="00907846"/>
    <w:rsid w:val="009079CB"/>
    <w:rsid w:val="00910763"/>
    <w:rsid w:val="00910C33"/>
    <w:rsid w:val="00912B99"/>
    <w:rsid w:val="009136D9"/>
    <w:rsid w:val="0091387B"/>
    <w:rsid w:val="00915221"/>
    <w:rsid w:val="009161BF"/>
    <w:rsid w:val="009167FA"/>
    <w:rsid w:val="0091766A"/>
    <w:rsid w:val="009208AB"/>
    <w:rsid w:val="00920C3A"/>
    <w:rsid w:val="00920D4D"/>
    <w:rsid w:val="00920FAA"/>
    <w:rsid w:val="00921A48"/>
    <w:rsid w:val="0092395F"/>
    <w:rsid w:val="00924122"/>
    <w:rsid w:val="00924554"/>
    <w:rsid w:val="0092489A"/>
    <w:rsid w:val="00924CE1"/>
    <w:rsid w:val="009258E8"/>
    <w:rsid w:val="009262A0"/>
    <w:rsid w:val="009276EF"/>
    <w:rsid w:val="00930ACD"/>
    <w:rsid w:val="009327D5"/>
    <w:rsid w:val="009343CD"/>
    <w:rsid w:val="00936E5D"/>
    <w:rsid w:val="00937C8A"/>
    <w:rsid w:val="0094083F"/>
    <w:rsid w:val="00941584"/>
    <w:rsid w:val="0094166F"/>
    <w:rsid w:val="00941E5B"/>
    <w:rsid w:val="00941FAF"/>
    <w:rsid w:val="009428D9"/>
    <w:rsid w:val="00943267"/>
    <w:rsid w:val="009446FA"/>
    <w:rsid w:val="00944F5C"/>
    <w:rsid w:val="00950782"/>
    <w:rsid w:val="00951AD0"/>
    <w:rsid w:val="00951C0B"/>
    <w:rsid w:val="00951E03"/>
    <w:rsid w:val="00951FB5"/>
    <w:rsid w:val="0095205E"/>
    <w:rsid w:val="009522AF"/>
    <w:rsid w:val="00953BA2"/>
    <w:rsid w:val="009555B5"/>
    <w:rsid w:val="00955716"/>
    <w:rsid w:val="00955D97"/>
    <w:rsid w:val="009571BF"/>
    <w:rsid w:val="00957C18"/>
    <w:rsid w:val="009600F8"/>
    <w:rsid w:val="00961493"/>
    <w:rsid w:val="00962A4E"/>
    <w:rsid w:val="0096304A"/>
    <w:rsid w:val="009632B3"/>
    <w:rsid w:val="00963760"/>
    <w:rsid w:val="00963E4D"/>
    <w:rsid w:val="0096426F"/>
    <w:rsid w:val="00964699"/>
    <w:rsid w:val="009648DE"/>
    <w:rsid w:val="00964F68"/>
    <w:rsid w:val="009729A7"/>
    <w:rsid w:val="00973D17"/>
    <w:rsid w:val="00975818"/>
    <w:rsid w:val="00975F91"/>
    <w:rsid w:val="009776B8"/>
    <w:rsid w:val="00983E5B"/>
    <w:rsid w:val="009845F1"/>
    <w:rsid w:val="00984A82"/>
    <w:rsid w:val="00987394"/>
    <w:rsid w:val="00990249"/>
    <w:rsid w:val="00990C7D"/>
    <w:rsid w:val="0099253B"/>
    <w:rsid w:val="00995F56"/>
    <w:rsid w:val="009964F2"/>
    <w:rsid w:val="00996F0D"/>
    <w:rsid w:val="00997EC2"/>
    <w:rsid w:val="009A0CD1"/>
    <w:rsid w:val="009A17F0"/>
    <w:rsid w:val="009A191D"/>
    <w:rsid w:val="009A23AA"/>
    <w:rsid w:val="009A2DC7"/>
    <w:rsid w:val="009A4C96"/>
    <w:rsid w:val="009A53FD"/>
    <w:rsid w:val="009A5D3C"/>
    <w:rsid w:val="009A5EFA"/>
    <w:rsid w:val="009A5F59"/>
    <w:rsid w:val="009A5F95"/>
    <w:rsid w:val="009A5FCE"/>
    <w:rsid w:val="009A6555"/>
    <w:rsid w:val="009B16D2"/>
    <w:rsid w:val="009B1B20"/>
    <w:rsid w:val="009B2953"/>
    <w:rsid w:val="009B3720"/>
    <w:rsid w:val="009B5C5B"/>
    <w:rsid w:val="009B777B"/>
    <w:rsid w:val="009C051C"/>
    <w:rsid w:val="009C0FFF"/>
    <w:rsid w:val="009C28D3"/>
    <w:rsid w:val="009C331D"/>
    <w:rsid w:val="009C376A"/>
    <w:rsid w:val="009C4743"/>
    <w:rsid w:val="009C5D1B"/>
    <w:rsid w:val="009C5FF5"/>
    <w:rsid w:val="009C6A66"/>
    <w:rsid w:val="009C711B"/>
    <w:rsid w:val="009C7926"/>
    <w:rsid w:val="009D12E1"/>
    <w:rsid w:val="009D29E7"/>
    <w:rsid w:val="009D2A5B"/>
    <w:rsid w:val="009D3195"/>
    <w:rsid w:val="009D387D"/>
    <w:rsid w:val="009D3DD7"/>
    <w:rsid w:val="009D3F84"/>
    <w:rsid w:val="009D536E"/>
    <w:rsid w:val="009D7682"/>
    <w:rsid w:val="009E1798"/>
    <w:rsid w:val="009E28A5"/>
    <w:rsid w:val="009E33E8"/>
    <w:rsid w:val="009E57CB"/>
    <w:rsid w:val="009E5807"/>
    <w:rsid w:val="009E5B2F"/>
    <w:rsid w:val="009E6AB0"/>
    <w:rsid w:val="009E7511"/>
    <w:rsid w:val="009E760C"/>
    <w:rsid w:val="009E7645"/>
    <w:rsid w:val="009F053F"/>
    <w:rsid w:val="009F1204"/>
    <w:rsid w:val="009F2DFD"/>
    <w:rsid w:val="009F54E1"/>
    <w:rsid w:val="009F6627"/>
    <w:rsid w:val="009F693A"/>
    <w:rsid w:val="009F7A01"/>
    <w:rsid w:val="009F7F5C"/>
    <w:rsid w:val="00A007E7"/>
    <w:rsid w:val="00A01A1A"/>
    <w:rsid w:val="00A021B4"/>
    <w:rsid w:val="00A02B2F"/>
    <w:rsid w:val="00A03C03"/>
    <w:rsid w:val="00A03D30"/>
    <w:rsid w:val="00A04FE1"/>
    <w:rsid w:val="00A05079"/>
    <w:rsid w:val="00A07BBC"/>
    <w:rsid w:val="00A102E1"/>
    <w:rsid w:val="00A105C0"/>
    <w:rsid w:val="00A10944"/>
    <w:rsid w:val="00A1388E"/>
    <w:rsid w:val="00A155E4"/>
    <w:rsid w:val="00A16C09"/>
    <w:rsid w:val="00A16E54"/>
    <w:rsid w:val="00A2080C"/>
    <w:rsid w:val="00A20EDD"/>
    <w:rsid w:val="00A21121"/>
    <w:rsid w:val="00A22435"/>
    <w:rsid w:val="00A22499"/>
    <w:rsid w:val="00A22E85"/>
    <w:rsid w:val="00A239A8"/>
    <w:rsid w:val="00A24780"/>
    <w:rsid w:val="00A24DBE"/>
    <w:rsid w:val="00A250AE"/>
    <w:rsid w:val="00A258DA"/>
    <w:rsid w:val="00A26145"/>
    <w:rsid w:val="00A26746"/>
    <w:rsid w:val="00A26B4A"/>
    <w:rsid w:val="00A27CE9"/>
    <w:rsid w:val="00A27F5A"/>
    <w:rsid w:val="00A301F3"/>
    <w:rsid w:val="00A30810"/>
    <w:rsid w:val="00A34F86"/>
    <w:rsid w:val="00A34F8A"/>
    <w:rsid w:val="00A41A87"/>
    <w:rsid w:val="00A41BE5"/>
    <w:rsid w:val="00A41D78"/>
    <w:rsid w:val="00A4203F"/>
    <w:rsid w:val="00A42463"/>
    <w:rsid w:val="00A425F2"/>
    <w:rsid w:val="00A439E4"/>
    <w:rsid w:val="00A443B0"/>
    <w:rsid w:val="00A44424"/>
    <w:rsid w:val="00A44E79"/>
    <w:rsid w:val="00A50393"/>
    <w:rsid w:val="00A50FF0"/>
    <w:rsid w:val="00A51196"/>
    <w:rsid w:val="00A51417"/>
    <w:rsid w:val="00A53495"/>
    <w:rsid w:val="00A5395C"/>
    <w:rsid w:val="00A5460B"/>
    <w:rsid w:val="00A54742"/>
    <w:rsid w:val="00A554C1"/>
    <w:rsid w:val="00A55A47"/>
    <w:rsid w:val="00A57B86"/>
    <w:rsid w:val="00A57F56"/>
    <w:rsid w:val="00A64ADE"/>
    <w:rsid w:val="00A651B6"/>
    <w:rsid w:val="00A653D7"/>
    <w:rsid w:val="00A674D3"/>
    <w:rsid w:val="00A709F5"/>
    <w:rsid w:val="00A71506"/>
    <w:rsid w:val="00A73016"/>
    <w:rsid w:val="00A74ECA"/>
    <w:rsid w:val="00A75646"/>
    <w:rsid w:val="00A75A5C"/>
    <w:rsid w:val="00A777E0"/>
    <w:rsid w:val="00A7780D"/>
    <w:rsid w:val="00A80347"/>
    <w:rsid w:val="00A80545"/>
    <w:rsid w:val="00A84400"/>
    <w:rsid w:val="00A84752"/>
    <w:rsid w:val="00A86171"/>
    <w:rsid w:val="00A86934"/>
    <w:rsid w:val="00A86FB8"/>
    <w:rsid w:val="00A90FFF"/>
    <w:rsid w:val="00A91926"/>
    <w:rsid w:val="00A9224C"/>
    <w:rsid w:val="00A9285D"/>
    <w:rsid w:val="00A932C1"/>
    <w:rsid w:val="00A93635"/>
    <w:rsid w:val="00A96B2C"/>
    <w:rsid w:val="00A976F5"/>
    <w:rsid w:val="00AA01BD"/>
    <w:rsid w:val="00AA1600"/>
    <w:rsid w:val="00AA2D24"/>
    <w:rsid w:val="00AA4D14"/>
    <w:rsid w:val="00AA5FF5"/>
    <w:rsid w:val="00AA6324"/>
    <w:rsid w:val="00AA7AE7"/>
    <w:rsid w:val="00AB05CA"/>
    <w:rsid w:val="00AB0D29"/>
    <w:rsid w:val="00AB1956"/>
    <w:rsid w:val="00AB19A9"/>
    <w:rsid w:val="00AB237E"/>
    <w:rsid w:val="00AB2789"/>
    <w:rsid w:val="00AC0712"/>
    <w:rsid w:val="00AC0EAA"/>
    <w:rsid w:val="00AC1101"/>
    <w:rsid w:val="00AC32C7"/>
    <w:rsid w:val="00AC5732"/>
    <w:rsid w:val="00AC6DBE"/>
    <w:rsid w:val="00AC7079"/>
    <w:rsid w:val="00AC75A7"/>
    <w:rsid w:val="00AC7AFD"/>
    <w:rsid w:val="00AD0823"/>
    <w:rsid w:val="00AD13EF"/>
    <w:rsid w:val="00AD27A5"/>
    <w:rsid w:val="00AD3ECC"/>
    <w:rsid w:val="00AD521D"/>
    <w:rsid w:val="00AD571B"/>
    <w:rsid w:val="00AD7060"/>
    <w:rsid w:val="00AD7EF0"/>
    <w:rsid w:val="00AE0E00"/>
    <w:rsid w:val="00AE0E8B"/>
    <w:rsid w:val="00AE23E7"/>
    <w:rsid w:val="00AE2751"/>
    <w:rsid w:val="00AE27FB"/>
    <w:rsid w:val="00AE2C6D"/>
    <w:rsid w:val="00AE3F95"/>
    <w:rsid w:val="00AE4392"/>
    <w:rsid w:val="00AE44F0"/>
    <w:rsid w:val="00AF0E0C"/>
    <w:rsid w:val="00AF20D8"/>
    <w:rsid w:val="00AF3206"/>
    <w:rsid w:val="00AF340F"/>
    <w:rsid w:val="00AF35B1"/>
    <w:rsid w:val="00AF7056"/>
    <w:rsid w:val="00B00104"/>
    <w:rsid w:val="00B01ECF"/>
    <w:rsid w:val="00B026AE"/>
    <w:rsid w:val="00B0330B"/>
    <w:rsid w:val="00B05BBC"/>
    <w:rsid w:val="00B05FB6"/>
    <w:rsid w:val="00B11873"/>
    <w:rsid w:val="00B11C4A"/>
    <w:rsid w:val="00B13C63"/>
    <w:rsid w:val="00B1438F"/>
    <w:rsid w:val="00B14A46"/>
    <w:rsid w:val="00B1625E"/>
    <w:rsid w:val="00B1767D"/>
    <w:rsid w:val="00B2044F"/>
    <w:rsid w:val="00B21996"/>
    <w:rsid w:val="00B234E2"/>
    <w:rsid w:val="00B23500"/>
    <w:rsid w:val="00B2420F"/>
    <w:rsid w:val="00B25D01"/>
    <w:rsid w:val="00B270C8"/>
    <w:rsid w:val="00B27E17"/>
    <w:rsid w:val="00B301E6"/>
    <w:rsid w:val="00B314BD"/>
    <w:rsid w:val="00B31B7A"/>
    <w:rsid w:val="00B32C5F"/>
    <w:rsid w:val="00B3349C"/>
    <w:rsid w:val="00B37882"/>
    <w:rsid w:val="00B37930"/>
    <w:rsid w:val="00B40023"/>
    <w:rsid w:val="00B40657"/>
    <w:rsid w:val="00B40991"/>
    <w:rsid w:val="00B40ED5"/>
    <w:rsid w:val="00B42574"/>
    <w:rsid w:val="00B42FFC"/>
    <w:rsid w:val="00B44963"/>
    <w:rsid w:val="00B45E1C"/>
    <w:rsid w:val="00B45F0E"/>
    <w:rsid w:val="00B45FBB"/>
    <w:rsid w:val="00B45FCC"/>
    <w:rsid w:val="00B513D4"/>
    <w:rsid w:val="00B51958"/>
    <w:rsid w:val="00B52127"/>
    <w:rsid w:val="00B530BA"/>
    <w:rsid w:val="00B5381F"/>
    <w:rsid w:val="00B54554"/>
    <w:rsid w:val="00B5596B"/>
    <w:rsid w:val="00B55F0C"/>
    <w:rsid w:val="00B56339"/>
    <w:rsid w:val="00B56536"/>
    <w:rsid w:val="00B56A32"/>
    <w:rsid w:val="00B56F64"/>
    <w:rsid w:val="00B56F9D"/>
    <w:rsid w:val="00B576DA"/>
    <w:rsid w:val="00B600F4"/>
    <w:rsid w:val="00B61486"/>
    <w:rsid w:val="00B625C0"/>
    <w:rsid w:val="00B63E4A"/>
    <w:rsid w:val="00B662F5"/>
    <w:rsid w:val="00B666A2"/>
    <w:rsid w:val="00B6693A"/>
    <w:rsid w:val="00B67092"/>
    <w:rsid w:val="00B675FE"/>
    <w:rsid w:val="00B73039"/>
    <w:rsid w:val="00B75D58"/>
    <w:rsid w:val="00B75E62"/>
    <w:rsid w:val="00B7760F"/>
    <w:rsid w:val="00B81B9B"/>
    <w:rsid w:val="00B81D74"/>
    <w:rsid w:val="00B83BC8"/>
    <w:rsid w:val="00B85293"/>
    <w:rsid w:val="00B85C0A"/>
    <w:rsid w:val="00B865AF"/>
    <w:rsid w:val="00B866DD"/>
    <w:rsid w:val="00B87F66"/>
    <w:rsid w:val="00B909D1"/>
    <w:rsid w:val="00B91719"/>
    <w:rsid w:val="00B91A7D"/>
    <w:rsid w:val="00B9222D"/>
    <w:rsid w:val="00B93624"/>
    <w:rsid w:val="00B96DC0"/>
    <w:rsid w:val="00BA0134"/>
    <w:rsid w:val="00BA0CE8"/>
    <w:rsid w:val="00BA1306"/>
    <w:rsid w:val="00BA1F2C"/>
    <w:rsid w:val="00BA26A1"/>
    <w:rsid w:val="00BA313D"/>
    <w:rsid w:val="00BA399D"/>
    <w:rsid w:val="00BA3ACF"/>
    <w:rsid w:val="00BA51E0"/>
    <w:rsid w:val="00BA5D3A"/>
    <w:rsid w:val="00BA748E"/>
    <w:rsid w:val="00BA7AE1"/>
    <w:rsid w:val="00BB10F8"/>
    <w:rsid w:val="00BB200C"/>
    <w:rsid w:val="00BB32C7"/>
    <w:rsid w:val="00BB32E6"/>
    <w:rsid w:val="00BB4915"/>
    <w:rsid w:val="00BC322B"/>
    <w:rsid w:val="00BC3E98"/>
    <w:rsid w:val="00BC4EA5"/>
    <w:rsid w:val="00BC4F36"/>
    <w:rsid w:val="00BC5D8F"/>
    <w:rsid w:val="00BC7B13"/>
    <w:rsid w:val="00BD00FA"/>
    <w:rsid w:val="00BD0C18"/>
    <w:rsid w:val="00BD1B22"/>
    <w:rsid w:val="00BD26C8"/>
    <w:rsid w:val="00BD3ECE"/>
    <w:rsid w:val="00BD572D"/>
    <w:rsid w:val="00BD5953"/>
    <w:rsid w:val="00BE1C99"/>
    <w:rsid w:val="00BE1D64"/>
    <w:rsid w:val="00BE2DA5"/>
    <w:rsid w:val="00BE3C8C"/>
    <w:rsid w:val="00BE3F04"/>
    <w:rsid w:val="00BE5BE0"/>
    <w:rsid w:val="00BE5F23"/>
    <w:rsid w:val="00BE662C"/>
    <w:rsid w:val="00BF10BE"/>
    <w:rsid w:val="00BF6B29"/>
    <w:rsid w:val="00BF73F2"/>
    <w:rsid w:val="00BF795E"/>
    <w:rsid w:val="00C014FF"/>
    <w:rsid w:val="00C01CC1"/>
    <w:rsid w:val="00C025A7"/>
    <w:rsid w:val="00C02A93"/>
    <w:rsid w:val="00C03168"/>
    <w:rsid w:val="00C0322B"/>
    <w:rsid w:val="00C033C8"/>
    <w:rsid w:val="00C0375D"/>
    <w:rsid w:val="00C0527C"/>
    <w:rsid w:val="00C055A8"/>
    <w:rsid w:val="00C06C4F"/>
    <w:rsid w:val="00C07551"/>
    <w:rsid w:val="00C10A4C"/>
    <w:rsid w:val="00C1100C"/>
    <w:rsid w:val="00C1119A"/>
    <w:rsid w:val="00C11416"/>
    <w:rsid w:val="00C116D4"/>
    <w:rsid w:val="00C11BB3"/>
    <w:rsid w:val="00C144FA"/>
    <w:rsid w:val="00C14A66"/>
    <w:rsid w:val="00C20B0B"/>
    <w:rsid w:val="00C20CDB"/>
    <w:rsid w:val="00C21DD3"/>
    <w:rsid w:val="00C22585"/>
    <w:rsid w:val="00C2429B"/>
    <w:rsid w:val="00C2453F"/>
    <w:rsid w:val="00C2539D"/>
    <w:rsid w:val="00C253EF"/>
    <w:rsid w:val="00C25853"/>
    <w:rsid w:val="00C26934"/>
    <w:rsid w:val="00C26E86"/>
    <w:rsid w:val="00C300A7"/>
    <w:rsid w:val="00C32737"/>
    <w:rsid w:val="00C33072"/>
    <w:rsid w:val="00C330B1"/>
    <w:rsid w:val="00C33BA4"/>
    <w:rsid w:val="00C33BB3"/>
    <w:rsid w:val="00C346AE"/>
    <w:rsid w:val="00C35590"/>
    <w:rsid w:val="00C37CB9"/>
    <w:rsid w:val="00C403DA"/>
    <w:rsid w:val="00C409B5"/>
    <w:rsid w:val="00C41829"/>
    <w:rsid w:val="00C41E74"/>
    <w:rsid w:val="00C43C81"/>
    <w:rsid w:val="00C44A08"/>
    <w:rsid w:val="00C451B2"/>
    <w:rsid w:val="00C50DB1"/>
    <w:rsid w:val="00C51366"/>
    <w:rsid w:val="00C52A79"/>
    <w:rsid w:val="00C53612"/>
    <w:rsid w:val="00C53A96"/>
    <w:rsid w:val="00C545A9"/>
    <w:rsid w:val="00C558C2"/>
    <w:rsid w:val="00C5663C"/>
    <w:rsid w:val="00C56CF7"/>
    <w:rsid w:val="00C56DA5"/>
    <w:rsid w:val="00C56E6F"/>
    <w:rsid w:val="00C60B62"/>
    <w:rsid w:val="00C61768"/>
    <w:rsid w:val="00C638D1"/>
    <w:rsid w:val="00C639AE"/>
    <w:rsid w:val="00C63FD2"/>
    <w:rsid w:val="00C643B9"/>
    <w:rsid w:val="00C64431"/>
    <w:rsid w:val="00C653DA"/>
    <w:rsid w:val="00C65460"/>
    <w:rsid w:val="00C6669D"/>
    <w:rsid w:val="00C70B9F"/>
    <w:rsid w:val="00C71A87"/>
    <w:rsid w:val="00C720E4"/>
    <w:rsid w:val="00C729CA"/>
    <w:rsid w:val="00C74D9C"/>
    <w:rsid w:val="00C75D06"/>
    <w:rsid w:val="00C77F89"/>
    <w:rsid w:val="00C800D9"/>
    <w:rsid w:val="00C810FD"/>
    <w:rsid w:val="00C813BC"/>
    <w:rsid w:val="00C817C7"/>
    <w:rsid w:val="00C8308B"/>
    <w:rsid w:val="00C8544A"/>
    <w:rsid w:val="00C901A1"/>
    <w:rsid w:val="00C901BD"/>
    <w:rsid w:val="00C916D7"/>
    <w:rsid w:val="00C91D73"/>
    <w:rsid w:val="00C9202C"/>
    <w:rsid w:val="00C951AE"/>
    <w:rsid w:val="00C95CDE"/>
    <w:rsid w:val="00C96CD5"/>
    <w:rsid w:val="00C97331"/>
    <w:rsid w:val="00CA050C"/>
    <w:rsid w:val="00CA1510"/>
    <w:rsid w:val="00CA2C2C"/>
    <w:rsid w:val="00CA2D9E"/>
    <w:rsid w:val="00CA3470"/>
    <w:rsid w:val="00CA3D40"/>
    <w:rsid w:val="00CA4414"/>
    <w:rsid w:val="00CA5D5F"/>
    <w:rsid w:val="00CB0A9B"/>
    <w:rsid w:val="00CB0F4C"/>
    <w:rsid w:val="00CB1BB5"/>
    <w:rsid w:val="00CB28D8"/>
    <w:rsid w:val="00CB31C8"/>
    <w:rsid w:val="00CB35A6"/>
    <w:rsid w:val="00CB35E6"/>
    <w:rsid w:val="00CB3E41"/>
    <w:rsid w:val="00CB3FA3"/>
    <w:rsid w:val="00CB4BB5"/>
    <w:rsid w:val="00CB58D4"/>
    <w:rsid w:val="00CB6322"/>
    <w:rsid w:val="00CB6485"/>
    <w:rsid w:val="00CB6678"/>
    <w:rsid w:val="00CC0811"/>
    <w:rsid w:val="00CC157B"/>
    <w:rsid w:val="00CC1D36"/>
    <w:rsid w:val="00CC221B"/>
    <w:rsid w:val="00CC2428"/>
    <w:rsid w:val="00CC2F8E"/>
    <w:rsid w:val="00CC35FB"/>
    <w:rsid w:val="00CC434C"/>
    <w:rsid w:val="00CC5637"/>
    <w:rsid w:val="00CC603B"/>
    <w:rsid w:val="00CD1966"/>
    <w:rsid w:val="00CD3CA4"/>
    <w:rsid w:val="00CD4306"/>
    <w:rsid w:val="00CD4E1E"/>
    <w:rsid w:val="00CD5D93"/>
    <w:rsid w:val="00CD6C30"/>
    <w:rsid w:val="00CD70C3"/>
    <w:rsid w:val="00CE05DD"/>
    <w:rsid w:val="00CE0C56"/>
    <w:rsid w:val="00CE1CE6"/>
    <w:rsid w:val="00CE503D"/>
    <w:rsid w:val="00CE566F"/>
    <w:rsid w:val="00CE718D"/>
    <w:rsid w:val="00CE74F5"/>
    <w:rsid w:val="00CF534A"/>
    <w:rsid w:val="00CF5655"/>
    <w:rsid w:val="00CF68A4"/>
    <w:rsid w:val="00CF71AE"/>
    <w:rsid w:val="00D02151"/>
    <w:rsid w:val="00D02DAA"/>
    <w:rsid w:val="00D0317D"/>
    <w:rsid w:val="00D0441F"/>
    <w:rsid w:val="00D045E2"/>
    <w:rsid w:val="00D04D77"/>
    <w:rsid w:val="00D069B5"/>
    <w:rsid w:val="00D120E6"/>
    <w:rsid w:val="00D12130"/>
    <w:rsid w:val="00D12AD7"/>
    <w:rsid w:val="00D12F6D"/>
    <w:rsid w:val="00D13064"/>
    <w:rsid w:val="00D1315E"/>
    <w:rsid w:val="00D13F35"/>
    <w:rsid w:val="00D1423A"/>
    <w:rsid w:val="00D144A8"/>
    <w:rsid w:val="00D15E96"/>
    <w:rsid w:val="00D16125"/>
    <w:rsid w:val="00D16801"/>
    <w:rsid w:val="00D17507"/>
    <w:rsid w:val="00D17EBD"/>
    <w:rsid w:val="00D21A3A"/>
    <w:rsid w:val="00D21C33"/>
    <w:rsid w:val="00D234B4"/>
    <w:rsid w:val="00D23CDD"/>
    <w:rsid w:val="00D23DB1"/>
    <w:rsid w:val="00D242FD"/>
    <w:rsid w:val="00D251D3"/>
    <w:rsid w:val="00D259D3"/>
    <w:rsid w:val="00D26BEE"/>
    <w:rsid w:val="00D27AAB"/>
    <w:rsid w:val="00D30205"/>
    <w:rsid w:val="00D31191"/>
    <w:rsid w:val="00D311C5"/>
    <w:rsid w:val="00D3327E"/>
    <w:rsid w:val="00D345DF"/>
    <w:rsid w:val="00D34912"/>
    <w:rsid w:val="00D35773"/>
    <w:rsid w:val="00D36C13"/>
    <w:rsid w:val="00D374A2"/>
    <w:rsid w:val="00D37A65"/>
    <w:rsid w:val="00D40E27"/>
    <w:rsid w:val="00D40EC9"/>
    <w:rsid w:val="00D41155"/>
    <w:rsid w:val="00D41F21"/>
    <w:rsid w:val="00D43278"/>
    <w:rsid w:val="00D4416F"/>
    <w:rsid w:val="00D44869"/>
    <w:rsid w:val="00D4522B"/>
    <w:rsid w:val="00D45E0F"/>
    <w:rsid w:val="00D46310"/>
    <w:rsid w:val="00D46694"/>
    <w:rsid w:val="00D4749D"/>
    <w:rsid w:val="00D504C4"/>
    <w:rsid w:val="00D51E4D"/>
    <w:rsid w:val="00D52E8D"/>
    <w:rsid w:val="00D541F7"/>
    <w:rsid w:val="00D5690A"/>
    <w:rsid w:val="00D57F09"/>
    <w:rsid w:val="00D6028D"/>
    <w:rsid w:val="00D60444"/>
    <w:rsid w:val="00D6068F"/>
    <w:rsid w:val="00D60882"/>
    <w:rsid w:val="00D61994"/>
    <w:rsid w:val="00D63526"/>
    <w:rsid w:val="00D63B28"/>
    <w:rsid w:val="00D63B73"/>
    <w:rsid w:val="00D64B94"/>
    <w:rsid w:val="00D65E64"/>
    <w:rsid w:val="00D668B3"/>
    <w:rsid w:val="00D66C03"/>
    <w:rsid w:val="00D66D3B"/>
    <w:rsid w:val="00D67A3D"/>
    <w:rsid w:val="00D705A5"/>
    <w:rsid w:val="00D70E7A"/>
    <w:rsid w:val="00D722DE"/>
    <w:rsid w:val="00D73BA5"/>
    <w:rsid w:val="00D740FA"/>
    <w:rsid w:val="00D74682"/>
    <w:rsid w:val="00D74A85"/>
    <w:rsid w:val="00D77A59"/>
    <w:rsid w:val="00D77CE2"/>
    <w:rsid w:val="00D8063C"/>
    <w:rsid w:val="00D80DD4"/>
    <w:rsid w:val="00D820A3"/>
    <w:rsid w:val="00D84159"/>
    <w:rsid w:val="00D84A18"/>
    <w:rsid w:val="00D8540B"/>
    <w:rsid w:val="00D85BAC"/>
    <w:rsid w:val="00D860FA"/>
    <w:rsid w:val="00D8668A"/>
    <w:rsid w:val="00D8705C"/>
    <w:rsid w:val="00D91E38"/>
    <w:rsid w:val="00D91E9E"/>
    <w:rsid w:val="00D9204F"/>
    <w:rsid w:val="00D935A8"/>
    <w:rsid w:val="00D9397F"/>
    <w:rsid w:val="00D9398D"/>
    <w:rsid w:val="00D94493"/>
    <w:rsid w:val="00D954D8"/>
    <w:rsid w:val="00D9595D"/>
    <w:rsid w:val="00D96109"/>
    <w:rsid w:val="00D968B6"/>
    <w:rsid w:val="00D96AB4"/>
    <w:rsid w:val="00D96D34"/>
    <w:rsid w:val="00D96FD4"/>
    <w:rsid w:val="00DA2CE4"/>
    <w:rsid w:val="00DA3392"/>
    <w:rsid w:val="00DA34C8"/>
    <w:rsid w:val="00DA39E1"/>
    <w:rsid w:val="00DA5CF2"/>
    <w:rsid w:val="00DA5E6A"/>
    <w:rsid w:val="00DA7051"/>
    <w:rsid w:val="00DB0327"/>
    <w:rsid w:val="00DB1B14"/>
    <w:rsid w:val="00DB1D0F"/>
    <w:rsid w:val="00DB256C"/>
    <w:rsid w:val="00DB2BA8"/>
    <w:rsid w:val="00DB31D4"/>
    <w:rsid w:val="00DB49A1"/>
    <w:rsid w:val="00DB4BA2"/>
    <w:rsid w:val="00DB5519"/>
    <w:rsid w:val="00DC37A2"/>
    <w:rsid w:val="00DC522E"/>
    <w:rsid w:val="00DC533F"/>
    <w:rsid w:val="00DC69EF"/>
    <w:rsid w:val="00DC7AF7"/>
    <w:rsid w:val="00DC7FBF"/>
    <w:rsid w:val="00DD0088"/>
    <w:rsid w:val="00DD06CC"/>
    <w:rsid w:val="00DD1C8A"/>
    <w:rsid w:val="00DD3151"/>
    <w:rsid w:val="00DD3BE3"/>
    <w:rsid w:val="00DD4EE9"/>
    <w:rsid w:val="00DD522A"/>
    <w:rsid w:val="00DD52CD"/>
    <w:rsid w:val="00DD63F3"/>
    <w:rsid w:val="00DD720D"/>
    <w:rsid w:val="00DD778B"/>
    <w:rsid w:val="00DD77DE"/>
    <w:rsid w:val="00DD7A33"/>
    <w:rsid w:val="00DE21DE"/>
    <w:rsid w:val="00DE2BA0"/>
    <w:rsid w:val="00DE35DE"/>
    <w:rsid w:val="00DE4589"/>
    <w:rsid w:val="00DE636C"/>
    <w:rsid w:val="00DF0837"/>
    <w:rsid w:val="00DF4466"/>
    <w:rsid w:val="00DF5CB8"/>
    <w:rsid w:val="00DF685D"/>
    <w:rsid w:val="00E005AA"/>
    <w:rsid w:val="00E01176"/>
    <w:rsid w:val="00E01EDD"/>
    <w:rsid w:val="00E0219F"/>
    <w:rsid w:val="00E03286"/>
    <w:rsid w:val="00E043ED"/>
    <w:rsid w:val="00E0469A"/>
    <w:rsid w:val="00E04C83"/>
    <w:rsid w:val="00E06606"/>
    <w:rsid w:val="00E10F70"/>
    <w:rsid w:val="00E12F75"/>
    <w:rsid w:val="00E1306C"/>
    <w:rsid w:val="00E13D35"/>
    <w:rsid w:val="00E152E2"/>
    <w:rsid w:val="00E17B6F"/>
    <w:rsid w:val="00E17D43"/>
    <w:rsid w:val="00E21B54"/>
    <w:rsid w:val="00E22080"/>
    <w:rsid w:val="00E23EC5"/>
    <w:rsid w:val="00E2407D"/>
    <w:rsid w:val="00E24441"/>
    <w:rsid w:val="00E2528D"/>
    <w:rsid w:val="00E25619"/>
    <w:rsid w:val="00E26ECE"/>
    <w:rsid w:val="00E2710E"/>
    <w:rsid w:val="00E301D9"/>
    <w:rsid w:val="00E30DD4"/>
    <w:rsid w:val="00E3238B"/>
    <w:rsid w:val="00E32F0A"/>
    <w:rsid w:val="00E33C58"/>
    <w:rsid w:val="00E34275"/>
    <w:rsid w:val="00E35829"/>
    <w:rsid w:val="00E35BFA"/>
    <w:rsid w:val="00E36AF0"/>
    <w:rsid w:val="00E37602"/>
    <w:rsid w:val="00E37C3D"/>
    <w:rsid w:val="00E408AB"/>
    <w:rsid w:val="00E40A02"/>
    <w:rsid w:val="00E40CD0"/>
    <w:rsid w:val="00E42486"/>
    <w:rsid w:val="00E42D88"/>
    <w:rsid w:val="00E42FD0"/>
    <w:rsid w:val="00E445CA"/>
    <w:rsid w:val="00E4497B"/>
    <w:rsid w:val="00E46C49"/>
    <w:rsid w:val="00E46F65"/>
    <w:rsid w:val="00E479A5"/>
    <w:rsid w:val="00E47F4F"/>
    <w:rsid w:val="00E502EA"/>
    <w:rsid w:val="00E517A6"/>
    <w:rsid w:val="00E53443"/>
    <w:rsid w:val="00E55026"/>
    <w:rsid w:val="00E5601C"/>
    <w:rsid w:val="00E57721"/>
    <w:rsid w:val="00E57D7A"/>
    <w:rsid w:val="00E6035B"/>
    <w:rsid w:val="00E6068C"/>
    <w:rsid w:val="00E609F3"/>
    <w:rsid w:val="00E6309D"/>
    <w:rsid w:val="00E6375C"/>
    <w:rsid w:val="00E63E38"/>
    <w:rsid w:val="00E64C91"/>
    <w:rsid w:val="00E653A2"/>
    <w:rsid w:val="00E65446"/>
    <w:rsid w:val="00E6722B"/>
    <w:rsid w:val="00E71897"/>
    <w:rsid w:val="00E72EB1"/>
    <w:rsid w:val="00E73438"/>
    <w:rsid w:val="00E73E40"/>
    <w:rsid w:val="00E750DA"/>
    <w:rsid w:val="00E75C57"/>
    <w:rsid w:val="00E7648A"/>
    <w:rsid w:val="00E77ECA"/>
    <w:rsid w:val="00E80687"/>
    <w:rsid w:val="00E81421"/>
    <w:rsid w:val="00E814D2"/>
    <w:rsid w:val="00E81B99"/>
    <w:rsid w:val="00E83158"/>
    <w:rsid w:val="00E83E70"/>
    <w:rsid w:val="00E841D9"/>
    <w:rsid w:val="00E84A26"/>
    <w:rsid w:val="00E84B80"/>
    <w:rsid w:val="00E853D2"/>
    <w:rsid w:val="00E856BA"/>
    <w:rsid w:val="00E85FB6"/>
    <w:rsid w:val="00E86F1F"/>
    <w:rsid w:val="00E86FF4"/>
    <w:rsid w:val="00E87330"/>
    <w:rsid w:val="00E9002D"/>
    <w:rsid w:val="00E9113B"/>
    <w:rsid w:val="00E9220B"/>
    <w:rsid w:val="00E93478"/>
    <w:rsid w:val="00E941B0"/>
    <w:rsid w:val="00E9580A"/>
    <w:rsid w:val="00E96651"/>
    <w:rsid w:val="00E96A69"/>
    <w:rsid w:val="00E9717A"/>
    <w:rsid w:val="00E97C0D"/>
    <w:rsid w:val="00EA0882"/>
    <w:rsid w:val="00EA0A96"/>
    <w:rsid w:val="00EA0E6D"/>
    <w:rsid w:val="00EA14F0"/>
    <w:rsid w:val="00EA2310"/>
    <w:rsid w:val="00EA34FA"/>
    <w:rsid w:val="00EA386E"/>
    <w:rsid w:val="00EA42FA"/>
    <w:rsid w:val="00EA4424"/>
    <w:rsid w:val="00EA6DEE"/>
    <w:rsid w:val="00EB0AD5"/>
    <w:rsid w:val="00EB13A2"/>
    <w:rsid w:val="00EB1A47"/>
    <w:rsid w:val="00EB31C5"/>
    <w:rsid w:val="00EB3575"/>
    <w:rsid w:val="00EB3C18"/>
    <w:rsid w:val="00EB43C4"/>
    <w:rsid w:val="00EB506C"/>
    <w:rsid w:val="00EB6375"/>
    <w:rsid w:val="00EB652B"/>
    <w:rsid w:val="00EB6FD6"/>
    <w:rsid w:val="00EC059C"/>
    <w:rsid w:val="00EC1551"/>
    <w:rsid w:val="00EC3F03"/>
    <w:rsid w:val="00EC4743"/>
    <w:rsid w:val="00EC7E1D"/>
    <w:rsid w:val="00ED00BB"/>
    <w:rsid w:val="00ED0A04"/>
    <w:rsid w:val="00ED2A54"/>
    <w:rsid w:val="00ED3CAE"/>
    <w:rsid w:val="00ED525F"/>
    <w:rsid w:val="00ED5EB5"/>
    <w:rsid w:val="00ED62C9"/>
    <w:rsid w:val="00ED7930"/>
    <w:rsid w:val="00EE290D"/>
    <w:rsid w:val="00EE49C9"/>
    <w:rsid w:val="00EE52DD"/>
    <w:rsid w:val="00EE5B5D"/>
    <w:rsid w:val="00EE76CB"/>
    <w:rsid w:val="00EF0CEB"/>
    <w:rsid w:val="00EF2009"/>
    <w:rsid w:val="00EF36A0"/>
    <w:rsid w:val="00EF3CE5"/>
    <w:rsid w:val="00EF3DF3"/>
    <w:rsid w:val="00EF5FBF"/>
    <w:rsid w:val="00EF75A0"/>
    <w:rsid w:val="00EF7813"/>
    <w:rsid w:val="00F028AA"/>
    <w:rsid w:val="00F02D9A"/>
    <w:rsid w:val="00F036D2"/>
    <w:rsid w:val="00F049EC"/>
    <w:rsid w:val="00F050ED"/>
    <w:rsid w:val="00F06753"/>
    <w:rsid w:val="00F068B5"/>
    <w:rsid w:val="00F06C8B"/>
    <w:rsid w:val="00F0701F"/>
    <w:rsid w:val="00F07CB8"/>
    <w:rsid w:val="00F1053D"/>
    <w:rsid w:val="00F110D9"/>
    <w:rsid w:val="00F1231B"/>
    <w:rsid w:val="00F1699E"/>
    <w:rsid w:val="00F16D68"/>
    <w:rsid w:val="00F16F84"/>
    <w:rsid w:val="00F20375"/>
    <w:rsid w:val="00F21519"/>
    <w:rsid w:val="00F23277"/>
    <w:rsid w:val="00F2346A"/>
    <w:rsid w:val="00F249F9"/>
    <w:rsid w:val="00F250E7"/>
    <w:rsid w:val="00F264B0"/>
    <w:rsid w:val="00F26807"/>
    <w:rsid w:val="00F26C30"/>
    <w:rsid w:val="00F328E8"/>
    <w:rsid w:val="00F330DE"/>
    <w:rsid w:val="00F3337C"/>
    <w:rsid w:val="00F33EF0"/>
    <w:rsid w:val="00F36D95"/>
    <w:rsid w:val="00F40393"/>
    <w:rsid w:val="00F4267B"/>
    <w:rsid w:val="00F44E7F"/>
    <w:rsid w:val="00F4553F"/>
    <w:rsid w:val="00F45809"/>
    <w:rsid w:val="00F466BC"/>
    <w:rsid w:val="00F50226"/>
    <w:rsid w:val="00F50AB1"/>
    <w:rsid w:val="00F51892"/>
    <w:rsid w:val="00F51923"/>
    <w:rsid w:val="00F51D3F"/>
    <w:rsid w:val="00F52A50"/>
    <w:rsid w:val="00F543C4"/>
    <w:rsid w:val="00F56549"/>
    <w:rsid w:val="00F60A48"/>
    <w:rsid w:val="00F60D77"/>
    <w:rsid w:val="00F62AAB"/>
    <w:rsid w:val="00F634AC"/>
    <w:rsid w:val="00F634B5"/>
    <w:rsid w:val="00F63A86"/>
    <w:rsid w:val="00F65471"/>
    <w:rsid w:val="00F65A9B"/>
    <w:rsid w:val="00F662A9"/>
    <w:rsid w:val="00F67EE2"/>
    <w:rsid w:val="00F67FA0"/>
    <w:rsid w:val="00F7020E"/>
    <w:rsid w:val="00F70AAC"/>
    <w:rsid w:val="00F72256"/>
    <w:rsid w:val="00F7227A"/>
    <w:rsid w:val="00F734A0"/>
    <w:rsid w:val="00F7366D"/>
    <w:rsid w:val="00F736A9"/>
    <w:rsid w:val="00F73D5D"/>
    <w:rsid w:val="00F74029"/>
    <w:rsid w:val="00F74461"/>
    <w:rsid w:val="00F7524E"/>
    <w:rsid w:val="00F7618E"/>
    <w:rsid w:val="00F76AAB"/>
    <w:rsid w:val="00F8154D"/>
    <w:rsid w:val="00F8167E"/>
    <w:rsid w:val="00F82697"/>
    <w:rsid w:val="00F82DA2"/>
    <w:rsid w:val="00F830CF"/>
    <w:rsid w:val="00F84124"/>
    <w:rsid w:val="00F84232"/>
    <w:rsid w:val="00F86BEB"/>
    <w:rsid w:val="00F8777A"/>
    <w:rsid w:val="00F909C1"/>
    <w:rsid w:val="00F91367"/>
    <w:rsid w:val="00F956A4"/>
    <w:rsid w:val="00F96D63"/>
    <w:rsid w:val="00F9728E"/>
    <w:rsid w:val="00F97AA4"/>
    <w:rsid w:val="00F97D90"/>
    <w:rsid w:val="00FA1535"/>
    <w:rsid w:val="00FA1B71"/>
    <w:rsid w:val="00FA25CC"/>
    <w:rsid w:val="00FA2721"/>
    <w:rsid w:val="00FA2F60"/>
    <w:rsid w:val="00FA31A8"/>
    <w:rsid w:val="00FA3C33"/>
    <w:rsid w:val="00FA4AC1"/>
    <w:rsid w:val="00FA4F48"/>
    <w:rsid w:val="00FA725B"/>
    <w:rsid w:val="00FA797E"/>
    <w:rsid w:val="00FA79C8"/>
    <w:rsid w:val="00FB05BF"/>
    <w:rsid w:val="00FB08D6"/>
    <w:rsid w:val="00FB1AEA"/>
    <w:rsid w:val="00FB24F4"/>
    <w:rsid w:val="00FB2C85"/>
    <w:rsid w:val="00FB3048"/>
    <w:rsid w:val="00FB3C62"/>
    <w:rsid w:val="00FB3D4A"/>
    <w:rsid w:val="00FB4A0B"/>
    <w:rsid w:val="00FB4DAA"/>
    <w:rsid w:val="00FB5097"/>
    <w:rsid w:val="00FB553C"/>
    <w:rsid w:val="00FB6405"/>
    <w:rsid w:val="00FC0E20"/>
    <w:rsid w:val="00FC4982"/>
    <w:rsid w:val="00FC5F58"/>
    <w:rsid w:val="00FC6D8B"/>
    <w:rsid w:val="00FD1553"/>
    <w:rsid w:val="00FD36FE"/>
    <w:rsid w:val="00FD5996"/>
    <w:rsid w:val="00FD74CE"/>
    <w:rsid w:val="00FD7B23"/>
    <w:rsid w:val="00FE01D7"/>
    <w:rsid w:val="00FE1000"/>
    <w:rsid w:val="00FE1784"/>
    <w:rsid w:val="00FE20AB"/>
    <w:rsid w:val="00FE3F59"/>
    <w:rsid w:val="00FE57A9"/>
    <w:rsid w:val="00FF0F47"/>
    <w:rsid w:val="00FF1606"/>
    <w:rsid w:val="00FF3358"/>
    <w:rsid w:val="00FF501F"/>
    <w:rsid w:val="00FF529F"/>
    <w:rsid w:val="00FF6219"/>
    <w:rsid w:val="00FF7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2B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2B2F"/>
  </w:style>
  <w:style w:type="paragraph" w:styleId="Footer">
    <w:name w:val="footer"/>
    <w:basedOn w:val="Normal"/>
    <w:link w:val="FooterChar"/>
    <w:uiPriority w:val="99"/>
    <w:semiHidden/>
    <w:unhideWhenUsed/>
    <w:rsid w:val="00A02B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2B2F"/>
  </w:style>
  <w:style w:type="table" w:customStyle="1" w:styleId="MediumGrid3-Accent11">
    <w:name w:val="Medium Grid 3 - Accent 11"/>
    <w:basedOn w:val="TableNormal"/>
    <w:next w:val="MediumGrid3-Accent1"/>
    <w:uiPriority w:val="69"/>
    <w:rsid w:val="00A02B2F"/>
    <w:pPr>
      <w:spacing w:after="0" w:line="240" w:lineRule="auto"/>
    </w:pPr>
    <w:rPr>
      <w:rFonts w:ascii="Calibri" w:eastAsia="SimSun" w:hAnsi="Calibri" w:cs="Times New Roman"/>
      <w:lang w:val="fr-FR" w:eastAsia="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FootnoteText">
    <w:name w:val="footnote text"/>
    <w:basedOn w:val="Normal"/>
    <w:link w:val="FootnoteTextChar"/>
    <w:uiPriority w:val="99"/>
    <w:semiHidden/>
    <w:unhideWhenUsed/>
    <w:rsid w:val="00A02B2F"/>
    <w:pPr>
      <w:spacing w:after="0" w:line="240" w:lineRule="auto"/>
    </w:pPr>
    <w:rPr>
      <w:rFonts w:ascii="Calibri" w:eastAsia="SimSun" w:hAnsi="Calibri" w:cs="Calibri"/>
      <w:sz w:val="20"/>
      <w:szCs w:val="20"/>
      <w:lang w:val="fr-FR" w:eastAsia="zh-CN"/>
    </w:rPr>
  </w:style>
  <w:style w:type="character" w:customStyle="1" w:styleId="FootnoteTextChar">
    <w:name w:val="Footnote Text Char"/>
    <w:basedOn w:val="DefaultParagraphFont"/>
    <w:link w:val="FootnoteText"/>
    <w:uiPriority w:val="99"/>
    <w:semiHidden/>
    <w:rsid w:val="00A02B2F"/>
    <w:rPr>
      <w:rFonts w:ascii="Calibri" w:eastAsia="SimSun" w:hAnsi="Calibri" w:cs="Calibri"/>
      <w:sz w:val="20"/>
      <w:szCs w:val="20"/>
      <w:lang w:val="fr-FR" w:eastAsia="zh-CN"/>
    </w:rPr>
  </w:style>
  <w:style w:type="character" w:styleId="FootnoteReference">
    <w:name w:val="footnote reference"/>
    <w:basedOn w:val="DefaultParagraphFont"/>
    <w:uiPriority w:val="99"/>
    <w:semiHidden/>
    <w:unhideWhenUsed/>
    <w:rsid w:val="00A02B2F"/>
    <w:rPr>
      <w:vertAlign w:val="superscript"/>
    </w:rPr>
  </w:style>
  <w:style w:type="table" w:styleId="MediumGrid3-Accent1">
    <w:name w:val="Medium Grid 3 Accent 1"/>
    <w:basedOn w:val="TableNormal"/>
    <w:uiPriority w:val="69"/>
    <w:rsid w:val="00A02B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A0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8345</Characters>
  <Application>Microsoft Office Word</Application>
  <DocSecurity>0</DocSecurity>
  <Lines>69</Lines>
  <Paragraphs>19</Paragraphs>
  <ScaleCrop>false</ScaleCrop>
  <Company>Carbon Market Pulse</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CMP1</dc:creator>
  <cp:lastModifiedBy>CMP1</cp:lastModifiedBy>
  <cp:revision>1</cp:revision>
  <dcterms:created xsi:type="dcterms:W3CDTF">2016-03-13T19:15:00Z</dcterms:created>
  <dcterms:modified xsi:type="dcterms:W3CDTF">2016-03-13T19:17:00Z</dcterms:modified>
</cp:coreProperties>
</file>